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A2C28" w14:textId="77777777" w:rsidR="00A52FF1" w:rsidRPr="00BA2EEB" w:rsidRDefault="00CA3463" w:rsidP="00F93E15">
      <w:pPr>
        <w:spacing w:after="225" w:line="240" w:lineRule="auto"/>
        <w:jc w:val="center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  <w:r w:rsidRPr="00BA2EEB">
        <w:rPr>
          <w:rFonts w:ascii="Arial Narrow" w:eastAsia="Times New Roman" w:hAnsi="Arial Narrow"/>
          <w:b/>
          <w:bCs/>
          <w:sz w:val="32"/>
          <w:szCs w:val="32"/>
        </w:rPr>
        <w:t>ÉTENDUE DES SERVICES REQUIS</w:t>
      </w:r>
    </w:p>
    <w:p w14:paraId="64C9FBC6" w14:textId="74C695AE" w:rsidR="00A52FF1" w:rsidRPr="00461091" w:rsidRDefault="00461091" w:rsidP="00A52FF1">
      <w:pPr>
        <w:spacing w:before="225" w:after="225" w:line="240" w:lineRule="auto"/>
        <w:jc w:val="center"/>
        <w:outlineLvl w:val="1"/>
        <w:rPr>
          <w:rFonts w:ascii="Arial Narrow" w:eastAsia="Times New Roman" w:hAnsi="Arial Narrow"/>
          <w:b/>
          <w:bCs/>
          <w:color w:val="FF0000"/>
          <w:sz w:val="32"/>
          <w:szCs w:val="32"/>
        </w:rPr>
      </w:pPr>
      <w:r w:rsidRPr="00461091">
        <w:rPr>
          <w:rFonts w:ascii="Arial Narrow" w:eastAsia="Times New Roman" w:hAnsi="Arial Narrow"/>
          <w:b/>
          <w:bCs/>
          <w:color w:val="FF0000"/>
          <w:sz w:val="32"/>
          <w:szCs w:val="32"/>
        </w:rPr>
        <w:t>(Service</w:t>
      </w:r>
      <w:r w:rsidR="00447CA6" w:rsidRPr="00447CA6">
        <w:rPr>
          <w:rFonts w:ascii="Arial Narrow" w:eastAsia="Times New Roman" w:hAnsi="Arial Narrow"/>
          <w:b/>
          <w:bCs/>
          <w:color w:val="FF0000"/>
          <w:sz w:val="32"/>
          <w:szCs w:val="32"/>
        </w:rPr>
        <w:t xml:space="preserve"> de location de voiture </w:t>
      </w:r>
      <w:r>
        <w:rPr>
          <w:rFonts w:ascii="Arial Narrow" w:eastAsia="Times New Roman" w:hAnsi="Arial Narrow"/>
          <w:b/>
          <w:bCs/>
          <w:color w:val="FF0000"/>
          <w:sz w:val="32"/>
          <w:szCs w:val="32"/>
        </w:rPr>
        <w:t>en Haïti</w:t>
      </w:r>
      <w:r w:rsidRPr="00447CA6">
        <w:rPr>
          <w:rFonts w:ascii="Arial Narrow" w:eastAsia="Times New Roman" w:hAnsi="Arial Narrow"/>
          <w:b/>
          <w:bCs/>
          <w:color w:val="FF0000"/>
          <w:sz w:val="32"/>
          <w:szCs w:val="32"/>
        </w:rPr>
        <w:t>)</w:t>
      </w:r>
    </w:p>
    <w:p w14:paraId="554E40C6" w14:textId="34207490" w:rsidR="00CA3463" w:rsidRPr="00BA2EEB" w:rsidRDefault="00CA3463" w:rsidP="00F93E15">
      <w:pPr>
        <w:spacing w:after="0" w:line="240" w:lineRule="auto"/>
        <w:jc w:val="center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</w:p>
    <w:p w14:paraId="48A01801" w14:textId="5809C291" w:rsidR="00704043" w:rsidRPr="00BA2EEB" w:rsidRDefault="0F567B94" w:rsidP="0F567B94">
      <w:pPr>
        <w:spacing w:before="225" w:after="225" w:line="240" w:lineRule="auto"/>
        <w:outlineLvl w:val="1"/>
        <w:rPr>
          <w:rFonts w:ascii="Arial Narrow" w:eastAsia="Times New Roman" w:hAnsi="Arial Narrow"/>
          <w:b/>
          <w:bCs/>
          <w:sz w:val="28"/>
          <w:szCs w:val="28"/>
          <w:u w:val="single"/>
        </w:rPr>
      </w:pPr>
      <w:r w:rsidRPr="0F567B94">
        <w:rPr>
          <w:rFonts w:ascii="Arial Narrow" w:eastAsia="Times New Roman" w:hAnsi="Arial Narrow"/>
          <w:b/>
          <w:bCs/>
          <w:sz w:val="28"/>
          <w:szCs w:val="28"/>
          <w:u w:val="single"/>
        </w:rPr>
        <w:t>Les propositions de services de location de voitures doivent répondre aux exigences suivantes :</w:t>
      </w:r>
    </w:p>
    <w:p w14:paraId="160BD931" w14:textId="4B2B3E18" w:rsidR="002867FD" w:rsidRPr="002867FD" w:rsidRDefault="002867FD" w:rsidP="00A47EBC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>Assurance</w:t>
      </w:r>
    </w:p>
    <w:p w14:paraId="5F97FB40" w14:textId="77777777" w:rsidR="002867FD" w:rsidRPr="002867FD" w:rsidRDefault="002867FD" w:rsidP="00A47EBC">
      <w:pPr>
        <w:numPr>
          <w:ilvl w:val="0"/>
          <w:numId w:val="14"/>
        </w:numPr>
        <w:spacing w:before="120" w:after="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Assurance collision sans franchise (CDW) </w:t>
      </w:r>
      <w:r w:rsidRPr="002867FD">
        <w:rPr>
          <w:rFonts w:ascii="Arial Narrow" w:eastAsia="Times New Roman" w:hAnsi="Arial Narrow"/>
          <w:sz w:val="24"/>
          <w:szCs w:val="24"/>
        </w:rPr>
        <w:t>: réduit votre responsabilité financière en cas de dommages causés au véhicule de location. Cependant, elle ne couvre souvent pas les dommages causés aux vitres, aux pneus ou au châssis.</w:t>
      </w:r>
    </w:p>
    <w:p w14:paraId="648EA6E8" w14:textId="77777777" w:rsidR="002867FD" w:rsidRPr="002867FD" w:rsidRDefault="002867FD" w:rsidP="00A47EBC">
      <w:pPr>
        <w:numPr>
          <w:ilvl w:val="0"/>
          <w:numId w:val="14"/>
        </w:numPr>
        <w:spacing w:before="120" w:after="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Assurance perte et dommages (LDW) </w:t>
      </w:r>
      <w:r w:rsidRPr="002867FD">
        <w:rPr>
          <w:rFonts w:ascii="Arial Narrow" w:eastAsia="Times New Roman" w:hAnsi="Arial Narrow"/>
          <w:sz w:val="24"/>
          <w:szCs w:val="24"/>
        </w:rPr>
        <w:t>: similaire à l'assurance CDW, mais inclut souvent une protection contre le vol. Elle peut vous exonérer complètement de toute responsabilité en cas de dommage ou de vol.</w:t>
      </w:r>
    </w:p>
    <w:p w14:paraId="4FA5F842" w14:textId="77777777" w:rsidR="002867FD" w:rsidRPr="002867FD" w:rsidRDefault="002867FD" w:rsidP="00A47EBC">
      <w:pPr>
        <w:numPr>
          <w:ilvl w:val="0"/>
          <w:numId w:val="14"/>
        </w:numPr>
        <w:spacing w:before="120" w:after="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Assurance responsabilité civile complémentaire (SLI) </w:t>
      </w:r>
      <w:r w:rsidRPr="002867FD">
        <w:rPr>
          <w:rFonts w:ascii="Arial Narrow" w:eastAsia="Times New Roman" w:hAnsi="Arial Narrow"/>
          <w:sz w:val="24"/>
          <w:szCs w:val="24"/>
        </w:rPr>
        <w:t>: elle couvre les réclamations faites contre vous pour des blessures ou des dommages causés à une autre personne ou à ses biens, qui dépassent la couverture fournie par votre assurance automobile personnelle ou votre carte de crédit.</w:t>
      </w:r>
    </w:p>
    <w:p w14:paraId="2D31DDFC" w14:textId="77777777" w:rsidR="002867FD" w:rsidRPr="002867FD" w:rsidRDefault="002867FD" w:rsidP="00A47EBC">
      <w:pPr>
        <w:numPr>
          <w:ilvl w:val="0"/>
          <w:numId w:val="14"/>
        </w:numPr>
        <w:spacing w:before="120" w:after="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Couverture des effets personnels (PEC) </w:t>
      </w:r>
      <w:r w:rsidRPr="002867FD">
        <w:rPr>
          <w:rFonts w:ascii="Arial Narrow" w:eastAsia="Times New Roman" w:hAnsi="Arial Narrow"/>
          <w:sz w:val="24"/>
          <w:szCs w:val="24"/>
        </w:rPr>
        <w:t>: Fournit une couverture pour vos effets personnels à l'intérieur de la voiture de location en cas de vol ou de dommage.</w:t>
      </w:r>
    </w:p>
    <w:p w14:paraId="6D1DD680" w14:textId="77777777" w:rsidR="002867FD" w:rsidRPr="002867FD" w:rsidRDefault="002867FD" w:rsidP="00A47EBC">
      <w:pPr>
        <w:numPr>
          <w:ilvl w:val="0"/>
          <w:numId w:val="14"/>
        </w:numPr>
        <w:spacing w:before="120" w:after="225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Protection d'assistance routière (RAP) </w:t>
      </w:r>
      <w:r w:rsidRPr="002867FD">
        <w:rPr>
          <w:rFonts w:ascii="Arial Narrow" w:eastAsia="Times New Roman" w:hAnsi="Arial Narrow"/>
          <w:sz w:val="24"/>
          <w:szCs w:val="24"/>
        </w:rPr>
        <w:t>: couvre les coûts associés aux urgences routières telles que le remorquage, le remplacement de clés perdues, le service de verrouillage et les démarrages rapides.</w:t>
      </w:r>
    </w:p>
    <w:p w14:paraId="7AC32767" w14:textId="2C175B18" w:rsidR="00A47EBC" w:rsidRPr="00F77032" w:rsidRDefault="00A47EBC" w:rsidP="00A47EBC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</w:rPr>
      </w:pPr>
      <w:r w:rsidRPr="00F77032">
        <w:rPr>
          <w:rFonts w:ascii="Arial Narrow" w:eastAsia="Times New Roman" w:hAnsi="Arial Narrow"/>
          <w:b/>
          <w:bCs/>
          <w:sz w:val="24"/>
          <w:szCs w:val="24"/>
        </w:rPr>
        <w:t>Conducteurs</w:t>
      </w:r>
      <w:r w:rsidR="00F77032" w:rsidRPr="00F77032">
        <w:rPr>
          <w:rFonts w:ascii="Arial Narrow" w:eastAsia="Times New Roman" w:hAnsi="Arial Narrow"/>
          <w:b/>
          <w:bCs/>
          <w:sz w:val="24"/>
          <w:szCs w:val="24"/>
        </w:rPr>
        <w:t xml:space="preserve"> (Chauffeur)</w:t>
      </w:r>
    </w:p>
    <w:p w14:paraId="2BCB93A7" w14:textId="2CCFF467" w:rsidR="00A47EBC" w:rsidRPr="00F77032" w:rsidRDefault="00F77032" w:rsidP="00A47EBC">
      <w:pPr>
        <w:numPr>
          <w:ilvl w:val="0"/>
          <w:numId w:val="17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F77032">
        <w:rPr>
          <w:rFonts w:ascii="Arial Narrow" w:eastAsia="Times New Roman" w:hAnsi="Arial Narrow"/>
          <w:b/>
          <w:bCs/>
          <w:sz w:val="24"/>
          <w:szCs w:val="24"/>
        </w:rPr>
        <w:t>Recommandation</w:t>
      </w:r>
      <w:r w:rsidR="005376D1">
        <w:rPr>
          <w:rFonts w:ascii="Arial Narrow" w:eastAsia="Times New Roman" w:hAnsi="Arial Narrow"/>
          <w:b/>
          <w:bCs/>
          <w:sz w:val="24"/>
          <w:szCs w:val="24"/>
        </w:rPr>
        <w:t xml:space="preserve"> choix chauffeur</w:t>
      </w:r>
      <w:r w:rsidRPr="00F77032">
        <w:rPr>
          <w:rFonts w:ascii="Arial Narrow" w:eastAsia="Times New Roman" w:hAnsi="Arial Narrow"/>
          <w:b/>
          <w:bCs/>
          <w:sz w:val="24"/>
          <w:szCs w:val="24"/>
        </w:rPr>
        <w:t xml:space="preserve"> </w:t>
      </w:r>
      <w:r w:rsidR="00A47EBC" w:rsidRPr="00F77032">
        <w:rPr>
          <w:rFonts w:ascii="Arial Narrow" w:eastAsia="Times New Roman" w:hAnsi="Arial Narrow"/>
          <w:sz w:val="24"/>
          <w:szCs w:val="24"/>
        </w:rPr>
        <w:t xml:space="preserve">: </w:t>
      </w:r>
      <w:r w:rsidRPr="00F77032">
        <w:rPr>
          <w:rFonts w:ascii="Arial Narrow" w:eastAsia="Times New Roman" w:hAnsi="Arial Narrow"/>
          <w:sz w:val="24"/>
          <w:szCs w:val="24"/>
        </w:rPr>
        <w:t>Les chauffeurs seront recommandés par l’IRC</w:t>
      </w:r>
      <w:r w:rsidR="005376D1">
        <w:rPr>
          <w:rFonts w:ascii="Arial Narrow" w:eastAsia="Times New Roman" w:hAnsi="Arial Narrow"/>
          <w:sz w:val="24"/>
          <w:szCs w:val="24"/>
        </w:rPr>
        <w:t xml:space="preserve"> et</w:t>
      </w:r>
      <w:r w:rsidRPr="00F77032">
        <w:rPr>
          <w:rFonts w:ascii="Arial Narrow" w:eastAsia="Times New Roman" w:hAnsi="Arial Narrow"/>
          <w:sz w:val="24"/>
          <w:szCs w:val="24"/>
        </w:rPr>
        <w:t xml:space="preserve"> payés</w:t>
      </w:r>
      <w:r>
        <w:rPr>
          <w:rFonts w:ascii="Arial Narrow" w:eastAsia="Times New Roman" w:hAnsi="Arial Narrow"/>
          <w:sz w:val="24"/>
          <w:szCs w:val="24"/>
        </w:rPr>
        <w:t xml:space="preserve"> par le fournisseur aux tarifs suggérés</w:t>
      </w:r>
      <w:r w:rsidRPr="00F77032">
        <w:rPr>
          <w:rFonts w:ascii="Arial Narrow" w:eastAsia="Times New Roman" w:hAnsi="Arial Narrow"/>
          <w:sz w:val="24"/>
          <w:szCs w:val="24"/>
        </w:rPr>
        <w:t> ;</w:t>
      </w:r>
    </w:p>
    <w:p w14:paraId="6CE30F5F" w14:textId="38D068AC" w:rsidR="00F77032" w:rsidRPr="00F77032" w:rsidRDefault="005376D1" w:rsidP="00A47EBC">
      <w:pPr>
        <w:numPr>
          <w:ilvl w:val="0"/>
          <w:numId w:val="17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b/>
          <w:bCs/>
          <w:sz w:val="24"/>
          <w:szCs w:val="24"/>
        </w:rPr>
        <w:t>Révision prix chauffeur</w:t>
      </w:r>
      <w:r w:rsidR="00F77032" w:rsidRPr="00F77032">
        <w:rPr>
          <w:rFonts w:ascii="Arial Narrow" w:eastAsia="Times New Roman" w:hAnsi="Arial Narrow"/>
          <w:sz w:val="24"/>
          <w:szCs w:val="24"/>
        </w:rPr>
        <w:t xml:space="preserve"> : </w:t>
      </w:r>
      <w:r>
        <w:rPr>
          <w:rFonts w:ascii="Arial Narrow" w:eastAsia="Times New Roman" w:hAnsi="Arial Narrow"/>
          <w:sz w:val="24"/>
          <w:szCs w:val="24"/>
        </w:rPr>
        <w:t xml:space="preserve">l’IRC peut exiger une révision de </w:t>
      </w:r>
      <w:r w:rsidR="00F77032" w:rsidRPr="00F77032">
        <w:rPr>
          <w:rFonts w:ascii="Arial Narrow" w:eastAsia="Times New Roman" w:hAnsi="Arial Narrow"/>
          <w:sz w:val="24"/>
          <w:szCs w:val="24"/>
        </w:rPr>
        <w:t>tarifs de prix pour le</w:t>
      </w:r>
      <w:r w:rsidR="00F77032">
        <w:rPr>
          <w:rFonts w:ascii="Arial Narrow" w:eastAsia="Times New Roman" w:hAnsi="Arial Narrow"/>
          <w:sz w:val="24"/>
          <w:szCs w:val="24"/>
        </w:rPr>
        <w:t>s</w:t>
      </w:r>
      <w:r w:rsidR="00F77032" w:rsidRPr="00F77032">
        <w:rPr>
          <w:rFonts w:ascii="Arial Narrow" w:eastAsia="Times New Roman" w:hAnsi="Arial Narrow"/>
          <w:sz w:val="24"/>
          <w:szCs w:val="24"/>
        </w:rPr>
        <w:t xml:space="preserve"> chauffeur</w:t>
      </w:r>
      <w:r w:rsidR="00F77032">
        <w:rPr>
          <w:rFonts w:ascii="Arial Narrow" w:eastAsia="Times New Roman" w:hAnsi="Arial Narrow"/>
          <w:sz w:val="24"/>
          <w:szCs w:val="24"/>
        </w:rPr>
        <w:t>s à la hausse et non à la baisse au besoin et selon la tendance du marché ;</w:t>
      </w:r>
    </w:p>
    <w:p w14:paraId="2CBAD10E" w14:textId="77777777" w:rsidR="002867FD" w:rsidRPr="002867FD" w:rsidRDefault="002867FD" w:rsidP="00A47EBC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>Remplacement</w:t>
      </w:r>
    </w:p>
    <w:p w14:paraId="15F2D6F0" w14:textId="5A519963" w:rsidR="002867FD" w:rsidRDefault="002867FD" w:rsidP="00A47EBC">
      <w:pPr>
        <w:numPr>
          <w:ilvl w:val="0"/>
          <w:numId w:val="15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Clause de remplacement immédiat </w:t>
      </w:r>
      <w:r w:rsidRPr="002867FD">
        <w:rPr>
          <w:rFonts w:ascii="Arial Narrow" w:eastAsia="Times New Roman" w:hAnsi="Arial Narrow"/>
          <w:sz w:val="24"/>
          <w:szCs w:val="24"/>
        </w:rPr>
        <w:t>: garantit qu'un véhicule de remplacement</w:t>
      </w:r>
      <w:r w:rsidR="00F77032">
        <w:rPr>
          <w:rFonts w:ascii="Arial Narrow" w:eastAsia="Times New Roman" w:hAnsi="Arial Narrow"/>
          <w:sz w:val="24"/>
          <w:szCs w:val="24"/>
        </w:rPr>
        <w:t xml:space="preserve"> de même TYPE </w:t>
      </w:r>
      <w:r w:rsidRPr="002867FD">
        <w:rPr>
          <w:rFonts w:ascii="Arial Narrow" w:eastAsia="Times New Roman" w:hAnsi="Arial Narrow"/>
          <w:sz w:val="24"/>
          <w:szCs w:val="24"/>
        </w:rPr>
        <w:t>est fourni dès que possible si le véhicule de location devient inutilisable.</w:t>
      </w:r>
    </w:p>
    <w:p w14:paraId="406E991B" w14:textId="3D31FA07" w:rsidR="00F77032" w:rsidRPr="002867FD" w:rsidRDefault="00F77032" w:rsidP="00A47EBC">
      <w:pPr>
        <w:numPr>
          <w:ilvl w:val="0"/>
          <w:numId w:val="15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Clause de </w:t>
      </w:r>
      <w:r>
        <w:rPr>
          <w:rFonts w:ascii="Arial Narrow" w:eastAsia="Times New Roman" w:hAnsi="Arial Narrow"/>
          <w:b/>
          <w:bCs/>
          <w:sz w:val="24"/>
          <w:szCs w:val="24"/>
        </w:rPr>
        <w:t xml:space="preserve">paiement </w:t>
      </w:r>
      <w:r w:rsidR="005376D1">
        <w:rPr>
          <w:rFonts w:ascii="Arial Narrow" w:eastAsia="Times New Roman" w:hAnsi="Arial Narrow"/>
          <w:b/>
          <w:bCs/>
          <w:sz w:val="24"/>
          <w:szCs w:val="24"/>
        </w:rPr>
        <w:t>véhicule</w:t>
      </w:r>
      <w:r>
        <w:rPr>
          <w:rFonts w:ascii="Arial Narrow" w:eastAsia="Times New Roman" w:hAnsi="Arial Narrow"/>
          <w:b/>
          <w:bCs/>
          <w:sz w:val="24"/>
          <w:szCs w:val="24"/>
        </w:rPr>
        <w:t xml:space="preserve"> de remplacement : </w:t>
      </w:r>
      <w:r w:rsidR="005376D1">
        <w:rPr>
          <w:rFonts w:ascii="Arial Narrow" w:eastAsia="Times New Roman" w:hAnsi="Arial Narrow"/>
          <w:sz w:val="24"/>
          <w:szCs w:val="24"/>
        </w:rPr>
        <w:t>D</w:t>
      </w:r>
      <w:r w:rsidRPr="005376D1">
        <w:rPr>
          <w:rFonts w:ascii="Arial Narrow" w:eastAsia="Times New Roman" w:hAnsi="Arial Narrow"/>
          <w:sz w:val="24"/>
          <w:szCs w:val="24"/>
        </w:rPr>
        <w:t xml:space="preserve">ans le cas où le </w:t>
      </w:r>
      <w:r w:rsidR="005376D1" w:rsidRPr="005376D1">
        <w:rPr>
          <w:rFonts w:ascii="Arial Narrow" w:eastAsia="Times New Roman" w:hAnsi="Arial Narrow"/>
          <w:sz w:val="24"/>
          <w:szCs w:val="24"/>
        </w:rPr>
        <w:t>véhicule</w:t>
      </w:r>
      <w:r w:rsidRPr="005376D1">
        <w:rPr>
          <w:rFonts w:ascii="Arial Narrow" w:eastAsia="Times New Roman" w:hAnsi="Arial Narrow"/>
          <w:sz w:val="24"/>
          <w:szCs w:val="24"/>
        </w:rPr>
        <w:t xml:space="preserve"> de remplacement est </w:t>
      </w:r>
      <w:r w:rsidR="005376D1" w:rsidRPr="005376D1">
        <w:rPr>
          <w:rFonts w:ascii="Arial Narrow" w:eastAsia="Times New Roman" w:hAnsi="Arial Narrow"/>
          <w:sz w:val="24"/>
          <w:szCs w:val="24"/>
        </w:rPr>
        <w:t>différent</w:t>
      </w:r>
      <w:r w:rsidRPr="005376D1">
        <w:rPr>
          <w:rFonts w:ascii="Arial Narrow" w:eastAsia="Times New Roman" w:hAnsi="Arial Narrow"/>
          <w:sz w:val="24"/>
          <w:szCs w:val="24"/>
        </w:rPr>
        <w:t xml:space="preserve"> du type remplacé (</w:t>
      </w:r>
      <w:r w:rsidR="005376D1" w:rsidRPr="005376D1">
        <w:rPr>
          <w:rFonts w:ascii="Arial Narrow" w:eastAsia="Times New Roman" w:hAnsi="Arial Narrow"/>
          <w:sz w:val="24"/>
          <w:szCs w:val="24"/>
        </w:rPr>
        <w:t xml:space="preserve">voiture contractuelle), il sera payé au prix correspondant </w:t>
      </w:r>
      <w:r w:rsidR="005376D1">
        <w:rPr>
          <w:rFonts w:ascii="Arial Narrow" w:eastAsia="Times New Roman" w:hAnsi="Arial Narrow"/>
          <w:sz w:val="24"/>
          <w:szCs w:val="24"/>
        </w:rPr>
        <w:t xml:space="preserve">du type </w:t>
      </w:r>
      <w:r w:rsidR="005376D1" w:rsidRPr="005376D1">
        <w:rPr>
          <w:rFonts w:ascii="Arial Narrow" w:eastAsia="Times New Roman" w:hAnsi="Arial Narrow"/>
          <w:sz w:val="24"/>
          <w:szCs w:val="24"/>
        </w:rPr>
        <w:t>et au prorata de nombre de jour.</w:t>
      </w:r>
    </w:p>
    <w:p w14:paraId="202C684A" w14:textId="5C9E96BC" w:rsidR="002867FD" w:rsidRPr="002867FD" w:rsidRDefault="002867FD" w:rsidP="00A47EBC">
      <w:pPr>
        <w:numPr>
          <w:ilvl w:val="0"/>
          <w:numId w:val="15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Garantie de véhicule similaire </w:t>
      </w:r>
      <w:r w:rsidRPr="002867FD">
        <w:rPr>
          <w:rFonts w:ascii="Arial Narrow" w:eastAsia="Times New Roman" w:hAnsi="Arial Narrow"/>
          <w:sz w:val="24"/>
          <w:szCs w:val="24"/>
        </w:rPr>
        <w:t>: Le véhicule de remplacement sera d'une marque et d'un modèle similaires au véhicule loué d'origine.</w:t>
      </w:r>
    </w:p>
    <w:p w14:paraId="62A9B413" w14:textId="63740952" w:rsidR="002867FD" w:rsidRDefault="002867FD" w:rsidP="00A47EBC">
      <w:pPr>
        <w:numPr>
          <w:ilvl w:val="0"/>
          <w:numId w:val="15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lastRenderedPageBreak/>
        <w:t xml:space="preserve">Services de livraison et de collecte </w:t>
      </w:r>
      <w:r w:rsidRPr="002867FD">
        <w:rPr>
          <w:rFonts w:ascii="Arial Narrow" w:eastAsia="Times New Roman" w:hAnsi="Arial Narrow"/>
          <w:sz w:val="24"/>
          <w:szCs w:val="24"/>
        </w:rPr>
        <w:t xml:space="preserve">: Livraison du véhicule de remplacement à nos locaux et collecte du véhicule </w:t>
      </w:r>
      <w:r w:rsidR="005376D1">
        <w:rPr>
          <w:rFonts w:ascii="Arial Narrow" w:eastAsia="Times New Roman" w:hAnsi="Arial Narrow"/>
          <w:sz w:val="24"/>
          <w:szCs w:val="24"/>
        </w:rPr>
        <w:t>immobilisé/</w:t>
      </w:r>
      <w:r w:rsidRPr="002867FD">
        <w:rPr>
          <w:rFonts w:ascii="Arial Narrow" w:eastAsia="Times New Roman" w:hAnsi="Arial Narrow"/>
          <w:sz w:val="24"/>
          <w:szCs w:val="24"/>
        </w:rPr>
        <w:t>inutilisable</w:t>
      </w:r>
      <w:r w:rsidR="005376D1">
        <w:rPr>
          <w:rFonts w:ascii="Arial Narrow" w:eastAsia="Times New Roman" w:hAnsi="Arial Narrow"/>
          <w:sz w:val="24"/>
          <w:szCs w:val="24"/>
        </w:rPr>
        <w:t xml:space="preserve"> sera au frais et coût du fournisseur.</w:t>
      </w:r>
    </w:p>
    <w:p w14:paraId="5A973DC2" w14:textId="77777777" w:rsidR="002867FD" w:rsidRPr="002867FD" w:rsidRDefault="002867FD" w:rsidP="00A47EBC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>Options administratives</w:t>
      </w:r>
    </w:p>
    <w:p w14:paraId="7729207A" w14:textId="0894E6AE" w:rsidR="002867FD" w:rsidRPr="002867FD" w:rsidRDefault="002867FD" w:rsidP="00A47EBC">
      <w:pPr>
        <w:numPr>
          <w:ilvl w:val="0"/>
          <w:numId w:val="23"/>
        </w:numPr>
        <w:spacing w:before="120" w:after="120" w:line="240" w:lineRule="auto"/>
        <w:jc w:val="both"/>
        <w:outlineLvl w:val="1"/>
        <w:rPr>
          <w:rFonts w:ascii="Arial Narrow" w:eastAsia="Times New Roman" w:hAnsi="Arial Narrow"/>
          <w:sz w:val="24"/>
          <w:szCs w:val="24"/>
        </w:rPr>
      </w:pPr>
      <w:r w:rsidRPr="002867FD">
        <w:rPr>
          <w:rFonts w:ascii="Arial Narrow" w:eastAsia="Times New Roman" w:hAnsi="Arial Narrow"/>
          <w:b/>
          <w:bCs/>
          <w:sz w:val="24"/>
          <w:szCs w:val="24"/>
        </w:rPr>
        <w:t xml:space="preserve">Politiques d’annulation flexibles : </w:t>
      </w:r>
      <w:r w:rsidRPr="002867FD">
        <w:rPr>
          <w:rFonts w:ascii="Arial Narrow" w:eastAsia="Times New Roman" w:hAnsi="Arial Narrow"/>
          <w:sz w:val="24"/>
          <w:szCs w:val="24"/>
        </w:rPr>
        <w:t>conditions qui vous permettent d’annuler ou de modifier votre réservation sans pénalités</w:t>
      </w:r>
      <w:r w:rsidR="005376D1">
        <w:rPr>
          <w:rFonts w:ascii="Arial Narrow" w:eastAsia="Times New Roman" w:hAnsi="Arial Narrow"/>
          <w:sz w:val="24"/>
          <w:szCs w:val="24"/>
        </w:rPr>
        <w:t xml:space="preserve"> pour l’IRC</w:t>
      </w:r>
      <w:r w:rsidRPr="002867FD">
        <w:rPr>
          <w:rFonts w:ascii="Arial Narrow" w:eastAsia="Times New Roman" w:hAnsi="Arial Narrow"/>
          <w:sz w:val="24"/>
          <w:szCs w:val="24"/>
        </w:rPr>
        <w:t>.</w:t>
      </w:r>
    </w:p>
    <w:p w14:paraId="40C5BE92" w14:textId="77777777" w:rsidR="00CA3463" w:rsidRPr="00BA2EEB" w:rsidRDefault="00CA3463" w:rsidP="00CA3463">
      <w:pPr>
        <w:spacing w:before="225" w:after="225" w:line="240" w:lineRule="auto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  <w:r w:rsidRPr="00BA2EEB">
        <w:rPr>
          <w:rFonts w:ascii="Arial Narrow" w:eastAsia="Times New Roman" w:hAnsi="Arial Narrow"/>
          <w:b/>
          <w:bCs/>
          <w:sz w:val="32"/>
          <w:szCs w:val="32"/>
        </w:rPr>
        <w:t>Période d'exécution</w:t>
      </w:r>
    </w:p>
    <w:p w14:paraId="6D251600" w14:textId="79186FC2" w:rsidR="00CA3463" w:rsidRPr="00BA2EEB" w:rsidRDefault="0F567B94" w:rsidP="00704043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  <w:r w:rsidRPr="0F567B94">
        <w:rPr>
          <w:rFonts w:ascii="Arial Narrow" w:eastAsia="Times New Roman" w:hAnsi="Arial Narrow"/>
          <w:sz w:val="24"/>
          <w:szCs w:val="24"/>
        </w:rPr>
        <w:t>La durée prévue du service est de 12 mois avec possibilité de prolongation si nécessaire.</w:t>
      </w:r>
    </w:p>
    <w:p w14:paraId="42C9DF42" w14:textId="77777777" w:rsidR="00CA3463" w:rsidRPr="00BA2EEB" w:rsidRDefault="00CA3463" w:rsidP="00CA3463">
      <w:pPr>
        <w:spacing w:before="225" w:after="225" w:line="240" w:lineRule="auto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  <w:r w:rsidRPr="00BA2EEB">
        <w:rPr>
          <w:rFonts w:ascii="Arial Narrow" w:eastAsia="Times New Roman" w:hAnsi="Arial Narrow"/>
          <w:b/>
          <w:bCs/>
          <w:sz w:val="32"/>
          <w:szCs w:val="32"/>
        </w:rPr>
        <w:t>Lieu d'exécution</w:t>
      </w:r>
    </w:p>
    <w:p w14:paraId="5586B81F" w14:textId="07087C0A" w:rsidR="00704043" w:rsidRPr="00BA2EEB" w:rsidRDefault="00ED1458" w:rsidP="00704043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  <w:r w:rsidRPr="00BA2EEB">
        <w:rPr>
          <w:rFonts w:ascii="Arial Narrow" w:eastAsia="Times New Roman" w:hAnsi="Arial Narrow"/>
          <w:sz w:val="24"/>
          <w:szCs w:val="24"/>
        </w:rPr>
        <w:t xml:space="preserve">Le lieu de représentation sera </w:t>
      </w:r>
      <w:r w:rsidR="00461091">
        <w:rPr>
          <w:rFonts w:ascii="Arial Narrow" w:eastAsia="Times New Roman" w:hAnsi="Arial Narrow"/>
          <w:sz w:val="24"/>
          <w:szCs w:val="24"/>
        </w:rPr>
        <w:t>Haiti</w:t>
      </w:r>
    </w:p>
    <w:p w14:paraId="767C3BD3" w14:textId="6685C75B" w:rsidR="00CA3463" w:rsidRPr="00BA2EEB" w:rsidRDefault="00CA3463" w:rsidP="00F93E15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  <w:r w:rsidRPr="00BA2EEB">
        <w:rPr>
          <w:rFonts w:ascii="Arial Narrow" w:eastAsia="Times New Roman" w:hAnsi="Arial Narrow"/>
          <w:b/>
          <w:bCs/>
          <w:sz w:val="32"/>
          <w:szCs w:val="32"/>
        </w:rPr>
        <w:t>Critères d'acceptation</w:t>
      </w:r>
    </w:p>
    <w:p w14:paraId="10C4D33D" w14:textId="4535BAC1" w:rsidR="007E7C11" w:rsidRDefault="007E7C11" w:rsidP="00F93E15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A2EEB">
        <w:rPr>
          <w:rFonts w:ascii="Arial Narrow" w:eastAsia="Times New Roman" w:hAnsi="Arial Narrow"/>
          <w:sz w:val="24"/>
          <w:szCs w:val="24"/>
        </w:rPr>
        <w:t xml:space="preserve">Les deux parties procéderont à la remise des installations nécessaires. Cela comprend l'inspection et l'évaluation préalables des installations pour s'assurer que toutes les exigences ou conditions de l'accord/de la portée des services </w:t>
      </w:r>
      <w:r w:rsidR="005376D1" w:rsidRPr="00BA2EEB">
        <w:rPr>
          <w:rFonts w:ascii="Arial Narrow" w:eastAsia="Times New Roman" w:hAnsi="Arial Narrow"/>
          <w:sz w:val="24"/>
          <w:szCs w:val="24"/>
        </w:rPr>
        <w:t>a</w:t>
      </w:r>
      <w:r w:rsidRPr="00BA2EEB">
        <w:rPr>
          <w:rFonts w:ascii="Arial Narrow" w:eastAsia="Times New Roman" w:hAnsi="Arial Narrow"/>
          <w:sz w:val="24"/>
          <w:szCs w:val="24"/>
        </w:rPr>
        <w:t xml:space="preserve"> été remplies ou respectées.</w:t>
      </w:r>
    </w:p>
    <w:p w14:paraId="5AEB1F2B" w14:textId="77777777" w:rsidR="00CA3463" w:rsidRPr="00BA2EEB" w:rsidRDefault="00CA3463" w:rsidP="00F93E15">
      <w:pPr>
        <w:spacing w:before="225" w:after="225" w:line="240" w:lineRule="auto"/>
        <w:jc w:val="both"/>
        <w:outlineLvl w:val="1"/>
        <w:rPr>
          <w:rFonts w:ascii="Arial Narrow" w:eastAsia="Times New Roman" w:hAnsi="Arial Narrow"/>
          <w:b/>
          <w:bCs/>
          <w:sz w:val="32"/>
          <w:szCs w:val="32"/>
        </w:rPr>
      </w:pPr>
      <w:r w:rsidRPr="00BA2EEB">
        <w:rPr>
          <w:rFonts w:ascii="Arial Narrow" w:eastAsia="Times New Roman" w:hAnsi="Arial Narrow"/>
          <w:b/>
          <w:bCs/>
          <w:sz w:val="32"/>
          <w:szCs w:val="32"/>
        </w:rPr>
        <w:t>Autres exigences</w:t>
      </w:r>
    </w:p>
    <w:p w14:paraId="26740CA4" w14:textId="7CDECC62" w:rsidR="00910776" w:rsidRPr="00BA2EEB" w:rsidRDefault="00835564" w:rsidP="00910776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A2EEB">
        <w:rPr>
          <w:rFonts w:ascii="Arial Narrow" w:eastAsia="Times New Roman" w:hAnsi="Arial Narrow"/>
          <w:sz w:val="24"/>
          <w:szCs w:val="24"/>
        </w:rPr>
        <w:t>L'IRC a le droit d'inspecter les voitures en adressant un avis au soumissionnaire/propriétaire, qui comprend une évaluation des risques.</w:t>
      </w:r>
    </w:p>
    <w:p w14:paraId="091797FB" w14:textId="483C5A62" w:rsidR="00741EFF" w:rsidRPr="00BA2EEB" w:rsidRDefault="00910776" w:rsidP="00F93E15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BA2EEB">
        <w:rPr>
          <w:rFonts w:ascii="Arial Narrow" w:eastAsia="Times New Roman" w:hAnsi="Arial Narrow"/>
          <w:sz w:val="24"/>
          <w:szCs w:val="24"/>
        </w:rPr>
        <w:t>Le fournisseur gagnant devra fournir les mises à jour nécessaires, le statut, l’avancement du service et toutes les contestations et/ou modifications de l’accord ou des travaux convenus.</w:t>
      </w:r>
    </w:p>
    <w:sectPr w:rsidR="00741EFF" w:rsidRPr="00BA2EEB" w:rsidSect="002867FD">
      <w:headerReference w:type="default" r:id="rId7"/>
      <w:footerReference w:type="default" r:id="rId8"/>
      <w:pgSz w:w="12240" w:h="15840"/>
      <w:pgMar w:top="19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379C0" w14:textId="77777777" w:rsidR="009B4790" w:rsidRDefault="009B4790" w:rsidP="00130B06">
      <w:pPr>
        <w:spacing w:after="0" w:line="240" w:lineRule="auto"/>
      </w:pPr>
      <w:r>
        <w:separator/>
      </w:r>
    </w:p>
  </w:endnote>
  <w:endnote w:type="continuationSeparator" w:id="0">
    <w:p w14:paraId="1353FB80" w14:textId="77777777" w:rsidR="009B4790" w:rsidRDefault="009B4790" w:rsidP="0013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340"/>
      <w:gridCol w:w="2340"/>
      <w:gridCol w:w="2340"/>
      <w:gridCol w:w="2340"/>
    </w:tblGrid>
    <w:tr w:rsidR="33E566CF" w14:paraId="2597D7F5" w14:textId="77777777" w:rsidTr="33E566CF">
      <w:trPr>
        <w:trHeight w:val="300"/>
      </w:trPr>
      <w:tc>
        <w:tcPr>
          <w:tcW w:w="2340" w:type="dxa"/>
        </w:tcPr>
        <w:p w14:paraId="09D87D07" w14:textId="2A37780D" w:rsidR="33E566CF" w:rsidRDefault="33E566CF" w:rsidP="33E566CF">
          <w:pPr>
            <w:pStyle w:val="En-tte"/>
            <w:ind w:left="-115"/>
          </w:pPr>
        </w:p>
      </w:tc>
      <w:tc>
        <w:tcPr>
          <w:tcW w:w="2340" w:type="dxa"/>
        </w:tcPr>
        <w:p w14:paraId="44BFE515" w14:textId="5F2962FF" w:rsidR="33E566CF" w:rsidRDefault="33E566CF" w:rsidP="33E566CF">
          <w:pPr>
            <w:pStyle w:val="En-tte"/>
            <w:jc w:val="center"/>
          </w:pPr>
        </w:p>
      </w:tc>
      <w:tc>
        <w:tcPr>
          <w:tcW w:w="2340" w:type="dxa"/>
        </w:tcPr>
        <w:p w14:paraId="56CBE322" w14:textId="771F5CB2" w:rsidR="33E566CF" w:rsidRDefault="33E566CF" w:rsidP="33E566CF">
          <w:pPr>
            <w:pStyle w:val="En-tte"/>
            <w:ind w:right="-115"/>
            <w:jc w:val="right"/>
          </w:pPr>
        </w:p>
      </w:tc>
      <w:tc>
        <w:tcPr>
          <w:tcW w:w="2340" w:type="dxa"/>
        </w:tcPr>
        <w:p w14:paraId="286FCDAE" w14:textId="3B9FCFAA" w:rsidR="33E566CF" w:rsidRDefault="33E566CF" w:rsidP="33E566CF">
          <w:pPr>
            <w:pStyle w:val="En-tte"/>
            <w:jc w:val="right"/>
          </w:pPr>
        </w:p>
      </w:tc>
    </w:tr>
  </w:tbl>
  <w:p w14:paraId="0359882E" w14:textId="70C43622" w:rsidR="33E566CF" w:rsidRDefault="33E566CF" w:rsidP="33E566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4E7F8" w14:textId="77777777" w:rsidR="009B4790" w:rsidRDefault="009B4790" w:rsidP="00130B06">
      <w:pPr>
        <w:spacing w:after="0" w:line="240" w:lineRule="auto"/>
      </w:pPr>
      <w:r>
        <w:separator/>
      </w:r>
    </w:p>
  </w:footnote>
  <w:footnote w:type="continuationSeparator" w:id="0">
    <w:p w14:paraId="31E999FE" w14:textId="77777777" w:rsidR="009B4790" w:rsidRDefault="009B4790" w:rsidP="00130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9A79" w14:textId="789F0743" w:rsidR="00130B06" w:rsidRPr="00BA2EEB" w:rsidRDefault="00130B06" w:rsidP="009F778D">
    <w:pPr>
      <w:pStyle w:val="En-tte"/>
      <w:jc w:val="right"/>
      <w:rPr>
        <w:rFonts w:ascii="Arial Narrow" w:hAnsi="Arial Narrow"/>
        <w:b/>
        <w:bCs/>
        <w:sz w:val="24"/>
        <w:szCs w:val="24"/>
        <w:u w:val="single"/>
      </w:rPr>
    </w:pPr>
    <w:r w:rsidRPr="00BA2EEB">
      <w:rPr>
        <w:rFonts w:ascii="Arial Narrow" w:hAnsi="Arial Narrow" w:cs="Arial"/>
        <w:b/>
        <w:bCs/>
        <w:noProof/>
        <w:sz w:val="24"/>
        <w:szCs w:val="24"/>
        <w:u w:val="single"/>
      </w:rPr>
      <w:drawing>
        <wp:anchor distT="0" distB="0" distL="114300" distR="114300" simplePos="0" relativeHeight="251659264" behindDoc="0" locked="0" layoutInCell="1" allowOverlap="1" wp14:anchorId="2248D3B2" wp14:editId="0B48B874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609600" cy="762000"/>
          <wp:effectExtent l="0" t="0" r="0" b="0"/>
          <wp:wrapNone/>
          <wp:docPr id="937388372" name="Picture 937388372" descr="IRC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RC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78D" w:rsidRPr="00BA2EEB">
      <w:rPr>
        <w:rFonts w:ascii="Arial Narrow" w:hAnsi="Arial Narrow"/>
        <w:b/>
        <w:bCs/>
        <w:sz w:val="24"/>
        <w:szCs w:val="24"/>
        <w:u w:val="single"/>
      </w:rPr>
      <w:t>ANNEXE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7C"/>
    <w:multiLevelType w:val="multilevel"/>
    <w:tmpl w:val="5CA8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622D7"/>
    <w:multiLevelType w:val="hybridMultilevel"/>
    <w:tmpl w:val="88A6C970"/>
    <w:lvl w:ilvl="0" w:tplc="5BCE62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56BB"/>
    <w:multiLevelType w:val="multilevel"/>
    <w:tmpl w:val="153E4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F47FA"/>
    <w:multiLevelType w:val="multilevel"/>
    <w:tmpl w:val="2008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2049F"/>
    <w:multiLevelType w:val="multilevel"/>
    <w:tmpl w:val="D372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897F9A"/>
    <w:multiLevelType w:val="multilevel"/>
    <w:tmpl w:val="228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AE75FE"/>
    <w:multiLevelType w:val="multilevel"/>
    <w:tmpl w:val="E7FEB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6C1A84"/>
    <w:multiLevelType w:val="hybridMultilevel"/>
    <w:tmpl w:val="6CFC6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217BC"/>
    <w:multiLevelType w:val="multilevel"/>
    <w:tmpl w:val="6CD2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A11599A"/>
    <w:multiLevelType w:val="multilevel"/>
    <w:tmpl w:val="6C36C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524F12"/>
    <w:multiLevelType w:val="multilevel"/>
    <w:tmpl w:val="4A3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377445"/>
    <w:multiLevelType w:val="multilevel"/>
    <w:tmpl w:val="AC48D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93344"/>
    <w:multiLevelType w:val="hybridMultilevel"/>
    <w:tmpl w:val="FD3C6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9679C"/>
    <w:multiLevelType w:val="hybridMultilevel"/>
    <w:tmpl w:val="36DAAD5E"/>
    <w:lvl w:ilvl="0" w:tplc="79180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D253C"/>
    <w:multiLevelType w:val="multilevel"/>
    <w:tmpl w:val="6A5E3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C47C99"/>
    <w:multiLevelType w:val="multilevel"/>
    <w:tmpl w:val="950C6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410A04"/>
    <w:multiLevelType w:val="hybridMultilevel"/>
    <w:tmpl w:val="929E3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C6FB0"/>
    <w:multiLevelType w:val="multilevel"/>
    <w:tmpl w:val="1E9A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2E76C3"/>
    <w:multiLevelType w:val="multilevel"/>
    <w:tmpl w:val="E16E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45727B3"/>
    <w:multiLevelType w:val="multilevel"/>
    <w:tmpl w:val="6F685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1708EF"/>
    <w:multiLevelType w:val="hybridMultilevel"/>
    <w:tmpl w:val="43B86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D4EC9"/>
    <w:multiLevelType w:val="multilevel"/>
    <w:tmpl w:val="91DC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E1A6D31"/>
    <w:multiLevelType w:val="multilevel"/>
    <w:tmpl w:val="862C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2670715">
    <w:abstractNumId w:val="21"/>
  </w:num>
  <w:num w:numId="2" w16cid:durableId="1671059223">
    <w:abstractNumId w:val="18"/>
  </w:num>
  <w:num w:numId="3" w16cid:durableId="1833715383">
    <w:abstractNumId w:val="3"/>
  </w:num>
  <w:num w:numId="4" w16cid:durableId="2143300372">
    <w:abstractNumId w:val="8"/>
  </w:num>
  <w:num w:numId="5" w16cid:durableId="360516858">
    <w:abstractNumId w:val="22"/>
  </w:num>
  <w:num w:numId="6" w16cid:durableId="1827016225">
    <w:abstractNumId w:val="4"/>
  </w:num>
  <w:num w:numId="7" w16cid:durableId="2081321091">
    <w:abstractNumId w:val="20"/>
  </w:num>
  <w:num w:numId="8" w16cid:durableId="1193156484">
    <w:abstractNumId w:val="7"/>
  </w:num>
  <w:num w:numId="9" w16cid:durableId="1525051477">
    <w:abstractNumId w:val="13"/>
  </w:num>
  <w:num w:numId="10" w16cid:durableId="445387164">
    <w:abstractNumId w:val="12"/>
  </w:num>
  <w:num w:numId="11" w16cid:durableId="1085151608">
    <w:abstractNumId w:val="16"/>
  </w:num>
  <w:num w:numId="12" w16cid:durableId="2125297899">
    <w:abstractNumId w:val="1"/>
  </w:num>
  <w:num w:numId="13" w16cid:durableId="1290476298">
    <w:abstractNumId w:val="14"/>
  </w:num>
  <w:num w:numId="14" w16cid:durableId="2114352049">
    <w:abstractNumId w:val="0"/>
  </w:num>
  <w:num w:numId="15" w16cid:durableId="1758550810">
    <w:abstractNumId w:val="5"/>
  </w:num>
  <w:num w:numId="16" w16cid:durableId="799343022">
    <w:abstractNumId w:val="11"/>
  </w:num>
  <w:num w:numId="17" w16cid:durableId="2094349251">
    <w:abstractNumId w:val="10"/>
  </w:num>
  <w:num w:numId="18" w16cid:durableId="1108476199">
    <w:abstractNumId w:val="19"/>
  </w:num>
  <w:num w:numId="19" w16cid:durableId="337121284">
    <w:abstractNumId w:val="9"/>
  </w:num>
  <w:num w:numId="20" w16cid:durableId="1872526629">
    <w:abstractNumId w:val="6"/>
  </w:num>
  <w:num w:numId="21" w16cid:durableId="1875270928">
    <w:abstractNumId w:val="15"/>
  </w:num>
  <w:num w:numId="22" w16cid:durableId="1750148700">
    <w:abstractNumId w:val="2"/>
  </w:num>
  <w:num w:numId="23" w16cid:durableId="7099572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05A"/>
    <w:rsid w:val="00005EDF"/>
    <w:rsid w:val="00007D48"/>
    <w:rsid w:val="000B3A3D"/>
    <w:rsid w:val="000C0E8A"/>
    <w:rsid w:val="000C27E9"/>
    <w:rsid w:val="000E7DA1"/>
    <w:rsid w:val="00126EC8"/>
    <w:rsid w:val="00130B06"/>
    <w:rsid w:val="001706FC"/>
    <w:rsid w:val="001A71BF"/>
    <w:rsid w:val="001F71DC"/>
    <w:rsid w:val="00246953"/>
    <w:rsid w:val="00275F3F"/>
    <w:rsid w:val="002867FD"/>
    <w:rsid w:val="002B0D89"/>
    <w:rsid w:val="002C46FC"/>
    <w:rsid w:val="00310608"/>
    <w:rsid w:val="003135A8"/>
    <w:rsid w:val="0037476C"/>
    <w:rsid w:val="003A305A"/>
    <w:rsid w:val="004059BD"/>
    <w:rsid w:val="00411175"/>
    <w:rsid w:val="00415E15"/>
    <w:rsid w:val="00447CA6"/>
    <w:rsid w:val="00454A8B"/>
    <w:rsid w:val="00461091"/>
    <w:rsid w:val="00490C98"/>
    <w:rsid w:val="00491AC2"/>
    <w:rsid w:val="004C007C"/>
    <w:rsid w:val="004C1B6E"/>
    <w:rsid w:val="004D531E"/>
    <w:rsid w:val="004F4B99"/>
    <w:rsid w:val="005001B0"/>
    <w:rsid w:val="00517A27"/>
    <w:rsid w:val="005376D1"/>
    <w:rsid w:val="00544279"/>
    <w:rsid w:val="005661CF"/>
    <w:rsid w:val="005913FA"/>
    <w:rsid w:val="005929C7"/>
    <w:rsid w:val="0059678E"/>
    <w:rsid w:val="00623273"/>
    <w:rsid w:val="006409CC"/>
    <w:rsid w:val="00683DCE"/>
    <w:rsid w:val="00704043"/>
    <w:rsid w:val="00741EFF"/>
    <w:rsid w:val="0074205E"/>
    <w:rsid w:val="00770D72"/>
    <w:rsid w:val="00775834"/>
    <w:rsid w:val="007A1608"/>
    <w:rsid w:val="007D385E"/>
    <w:rsid w:val="007E7C11"/>
    <w:rsid w:val="007F0223"/>
    <w:rsid w:val="00817970"/>
    <w:rsid w:val="00835564"/>
    <w:rsid w:val="008453ED"/>
    <w:rsid w:val="0085357A"/>
    <w:rsid w:val="00881FB0"/>
    <w:rsid w:val="008830D0"/>
    <w:rsid w:val="00890CBF"/>
    <w:rsid w:val="00895161"/>
    <w:rsid w:val="008B2714"/>
    <w:rsid w:val="008B2D6B"/>
    <w:rsid w:val="008D4758"/>
    <w:rsid w:val="008D7B4E"/>
    <w:rsid w:val="008F643C"/>
    <w:rsid w:val="00903457"/>
    <w:rsid w:val="00910776"/>
    <w:rsid w:val="0094768E"/>
    <w:rsid w:val="009537A0"/>
    <w:rsid w:val="00965BBF"/>
    <w:rsid w:val="009733E9"/>
    <w:rsid w:val="009900CB"/>
    <w:rsid w:val="009B4790"/>
    <w:rsid w:val="009F778D"/>
    <w:rsid w:val="00A325CA"/>
    <w:rsid w:val="00A47EBC"/>
    <w:rsid w:val="00A52FF1"/>
    <w:rsid w:val="00A571D4"/>
    <w:rsid w:val="00A831C9"/>
    <w:rsid w:val="00AB481C"/>
    <w:rsid w:val="00AD6999"/>
    <w:rsid w:val="00B11B81"/>
    <w:rsid w:val="00B15653"/>
    <w:rsid w:val="00B7765B"/>
    <w:rsid w:val="00B77D32"/>
    <w:rsid w:val="00BA2EEB"/>
    <w:rsid w:val="00BD5F0E"/>
    <w:rsid w:val="00C2590C"/>
    <w:rsid w:val="00C5698A"/>
    <w:rsid w:val="00C65523"/>
    <w:rsid w:val="00CA3463"/>
    <w:rsid w:val="00CE3A4F"/>
    <w:rsid w:val="00D13041"/>
    <w:rsid w:val="00D25CEF"/>
    <w:rsid w:val="00D428F4"/>
    <w:rsid w:val="00D52D89"/>
    <w:rsid w:val="00D56A8F"/>
    <w:rsid w:val="00DC4324"/>
    <w:rsid w:val="00DE55CE"/>
    <w:rsid w:val="00E93024"/>
    <w:rsid w:val="00ED1458"/>
    <w:rsid w:val="00EF3C11"/>
    <w:rsid w:val="00F156E5"/>
    <w:rsid w:val="00F5557A"/>
    <w:rsid w:val="00F77032"/>
    <w:rsid w:val="00F93E15"/>
    <w:rsid w:val="00FC3152"/>
    <w:rsid w:val="00FD159C"/>
    <w:rsid w:val="00FD28CB"/>
    <w:rsid w:val="00FE10BD"/>
    <w:rsid w:val="0F567B94"/>
    <w:rsid w:val="230F321E"/>
    <w:rsid w:val="33E5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772CF"/>
  <w15:chartTrackingRefBased/>
  <w15:docId w15:val="{C3C4154C-4966-4F96-BB7D-EF241C8B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A34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867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A346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nstruction">
    <w:name w:val="instruction"/>
    <w:basedOn w:val="Normal"/>
    <w:rsid w:val="00CA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A3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30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B06"/>
  </w:style>
  <w:style w:type="paragraph" w:styleId="Pieddepage">
    <w:name w:val="footer"/>
    <w:basedOn w:val="Normal"/>
    <w:link w:val="PieddepageCar"/>
    <w:uiPriority w:val="99"/>
    <w:unhideWhenUsed/>
    <w:rsid w:val="00130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0B06"/>
  </w:style>
  <w:style w:type="paragraph" w:styleId="Paragraphedeliste">
    <w:name w:val="List Paragraph"/>
    <w:basedOn w:val="Normal"/>
    <w:uiPriority w:val="34"/>
    <w:qFormat/>
    <w:rsid w:val="00DC4324"/>
    <w:pPr>
      <w:ind w:left="720"/>
      <w:contextualSpacing/>
    </w:pPr>
  </w:style>
  <w:style w:type="paragraph" w:styleId="Rvision">
    <w:name w:val="Revision"/>
    <w:hidden/>
    <w:uiPriority w:val="99"/>
    <w:semiHidden/>
    <w:rsid w:val="0081797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2867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Rewan Sattar</dc:creator>
  <cp:keywords/>
  <dc:description/>
  <cp:lastModifiedBy>Loubens Ernest</cp:lastModifiedBy>
  <cp:revision>21</cp:revision>
  <dcterms:created xsi:type="dcterms:W3CDTF">2024-09-23T11:35:00Z</dcterms:created>
  <dcterms:modified xsi:type="dcterms:W3CDTF">2024-12-09T18:07:00Z</dcterms:modified>
</cp:coreProperties>
</file>