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AE0C3" w14:textId="77777777" w:rsidR="00DB7376" w:rsidRDefault="00000000">
      <w:pPr>
        <w:spacing w:after="200"/>
      </w:pPr>
      <w:r>
        <w:rPr>
          <w:noProof/>
        </w:rPr>
        <w:drawing>
          <wp:inline distT="0" distB="0" distL="0" distR="0" wp14:anchorId="1F64B2FC" wp14:editId="7533389F">
            <wp:extent cx="640080" cy="853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640080" cy="853440"/>
                    </a:xfrm>
                    <a:prstGeom prst="rect">
                      <a:avLst/>
                    </a:prstGeom>
                  </pic:spPr>
                </pic:pic>
              </a:graphicData>
            </a:graphic>
          </wp:inline>
        </w:drawing>
      </w:r>
    </w:p>
    <w:p w14:paraId="698D6531" w14:textId="77777777" w:rsidR="00DB7376" w:rsidRDefault="00000000">
      <w:pPr>
        <w:spacing w:after="80"/>
      </w:pPr>
      <w:r>
        <w:rPr>
          <w:b/>
          <w:bCs/>
          <w:sz w:val="40"/>
          <w:szCs w:val="40"/>
        </w:rPr>
        <w:t>Scope of services</w:t>
      </w:r>
    </w:p>
    <w:p w14:paraId="706FE629" w14:textId="77777777" w:rsidR="00DB7376" w:rsidRDefault="00000000">
      <w:pPr>
        <w:spacing w:after="60"/>
      </w:pPr>
      <w:r>
        <w:t>Face-to-Face Fundraising</w:t>
      </w:r>
    </w:p>
    <w:p w14:paraId="0FDD992D" w14:textId="77777777" w:rsidR="00DB7376" w:rsidRDefault="00000000">
      <w:pPr>
        <w:spacing w:after="300"/>
      </w:pPr>
      <w:r>
        <w:t>International Rescue Committee</w:t>
      </w:r>
    </w:p>
    <w:p w14:paraId="434A0493" w14:textId="77777777" w:rsidR="00DB7376" w:rsidRDefault="00DB7376">
      <w:pPr>
        <w:pBdr>
          <w:bottom w:val="single" w:sz="4" w:space="1" w:color="999999"/>
        </w:pBdr>
      </w:pPr>
    </w:p>
    <w:p w14:paraId="099E6235" w14:textId="77777777" w:rsidR="00DB7376" w:rsidRDefault="00DB7376">
      <w:pPr>
        <w:spacing w:before="60" w:after="60"/>
      </w:pPr>
    </w:p>
    <w:p w14:paraId="1C2A46D3" w14:textId="77777777" w:rsidR="00DB7376" w:rsidRDefault="00000000">
      <w:pPr>
        <w:spacing w:before="80" w:after="80"/>
      </w:pPr>
      <w:r>
        <w:t>IRC is seeking to procure face-to-face (F2F) fundraising services delivered across high-visibility public spaces, including streets, door-to-door canvassing, and designated private venues. The purpose of these services is to engage prospective donors directly, secure sustaining gift commitments across multiple giving frequencies, and build long-term donor relationships.</w:t>
      </w:r>
    </w:p>
    <w:p w14:paraId="1CEBCFA4" w14:textId="77777777" w:rsidR="00DB7376" w:rsidRDefault="00DB7376">
      <w:pPr>
        <w:spacing w:before="60" w:after="60"/>
      </w:pPr>
    </w:p>
    <w:p w14:paraId="1D8988E4" w14:textId="77777777" w:rsidR="00DB7376" w:rsidRDefault="00000000">
      <w:pPr>
        <w:spacing w:before="80" w:after="80"/>
      </w:pPr>
      <w:r>
        <w:t>This RFP has five objectives:</w:t>
      </w:r>
    </w:p>
    <w:p w14:paraId="40556327" w14:textId="77777777" w:rsidR="00DB7376" w:rsidRDefault="00000000">
      <w:pPr>
        <w:pStyle w:val="ListParagraph"/>
        <w:numPr>
          <w:ilvl w:val="0"/>
          <w:numId w:val="2"/>
        </w:numPr>
        <w:spacing w:before="60" w:after="60"/>
      </w:pPr>
      <w:r>
        <w:t>Benchmarking: assess pricing structures and agency capacity across the broader market.</w:t>
      </w:r>
    </w:p>
    <w:p w14:paraId="26C99E38" w14:textId="77777777" w:rsidR="00DB7376" w:rsidRDefault="00000000">
      <w:pPr>
        <w:pStyle w:val="ListParagraph"/>
        <w:numPr>
          <w:ilvl w:val="0"/>
          <w:numId w:val="2"/>
        </w:numPr>
        <w:spacing w:before="60" w:after="60"/>
      </w:pPr>
      <w:r>
        <w:t>Value assurance: confirm whether current vendors continue to offer best value relative to market standards.</w:t>
      </w:r>
    </w:p>
    <w:p w14:paraId="1FC79606" w14:textId="77777777" w:rsidR="00DB7376" w:rsidRDefault="00000000">
      <w:pPr>
        <w:pStyle w:val="ListParagraph"/>
        <w:numPr>
          <w:ilvl w:val="0"/>
          <w:numId w:val="2"/>
        </w:numPr>
        <w:spacing w:before="60" w:after="60"/>
      </w:pPr>
      <w:r>
        <w:t xml:space="preserve">Scalability: identify vendors capable of supporting </w:t>
      </w:r>
      <w:proofErr w:type="spellStart"/>
      <w:r>
        <w:t>programme</w:t>
      </w:r>
      <w:proofErr w:type="spellEnd"/>
      <w:r>
        <w:t xml:space="preserve"> growth and geographic expansion.</w:t>
      </w:r>
    </w:p>
    <w:p w14:paraId="46D32930" w14:textId="77777777" w:rsidR="00DB7376" w:rsidRDefault="00000000">
      <w:pPr>
        <w:pStyle w:val="ListParagraph"/>
        <w:numPr>
          <w:ilvl w:val="0"/>
          <w:numId w:val="2"/>
        </w:numPr>
        <w:spacing w:before="60" w:after="60"/>
      </w:pPr>
      <w:r>
        <w:t>Preferred vendor list: establish a pre-qualified panel of vendors available for deployment should new investment be approved.</w:t>
      </w:r>
    </w:p>
    <w:p w14:paraId="2DDFFB71" w14:textId="77777777" w:rsidR="00DB7376" w:rsidRDefault="00000000">
      <w:pPr>
        <w:pStyle w:val="ListParagraph"/>
        <w:numPr>
          <w:ilvl w:val="0"/>
          <w:numId w:val="2"/>
        </w:numPr>
        <w:spacing w:before="60" w:after="60"/>
      </w:pPr>
      <w:r>
        <w:t>Innovation: explore new approaches, scripts, or engagement techniques that can improve acquisition rates and donor satisfaction.</w:t>
      </w:r>
    </w:p>
    <w:p w14:paraId="04BDF233" w14:textId="77777777" w:rsidR="00DB7376" w:rsidRDefault="00DB7376">
      <w:pPr>
        <w:spacing w:before="60" w:after="60"/>
      </w:pPr>
    </w:p>
    <w:p w14:paraId="06014155" w14:textId="77777777" w:rsidR="00DB7376" w:rsidRDefault="00DB7376">
      <w:pPr>
        <w:pBdr>
          <w:bottom w:val="single" w:sz="4" w:space="1" w:color="999999"/>
        </w:pBdr>
      </w:pPr>
    </w:p>
    <w:p w14:paraId="79341332" w14:textId="77777777" w:rsidR="00DB7376" w:rsidRDefault="00DB7376">
      <w:pPr>
        <w:spacing w:before="60" w:after="60"/>
      </w:pPr>
    </w:p>
    <w:p w14:paraId="5DD163A4" w14:textId="77777777" w:rsidR="00DB7376" w:rsidRDefault="00000000">
      <w:pPr>
        <w:pStyle w:val="Heading1"/>
      </w:pPr>
      <w:r>
        <w:t>Period of performance</w:t>
      </w:r>
    </w:p>
    <w:p w14:paraId="44E87BCB" w14:textId="77777777" w:rsidR="00DB7376" w:rsidRDefault="00000000">
      <w:pPr>
        <w:spacing w:before="80" w:after="80"/>
      </w:pPr>
      <w:r>
        <w:t xml:space="preserve">The performance period is open-ended. The </w:t>
      </w:r>
      <w:proofErr w:type="spellStart"/>
      <w:r>
        <w:t>programme</w:t>
      </w:r>
      <w:proofErr w:type="spellEnd"/>
      <w:r>
        <w:t xml:space="preserve"> will continue </w:t>
      </w:r>
      <w:proofErr w:type="gramStart"/>
      <w:r>
        <w:t>as long as</w:t>
      </w:r>
      <w:proofErr w:type="gramEnd"/>
      <w:r>
        <w:t xml:space="preserve"> it remains financially </w:t>
      </w:r>
      <w:proofErr w:type="gramStart"/>
      <w:r>
        <w:t>viable</w:t>
      </w:r>
      <w:proofErr w:type="gramEnd"/>
      <w:r>
        <w:t xml:space="preserve"> and donor acquisition meets or exceeds agreed targets.</w:t>
      </w:r>
    </w:p>
    <w:p w14:paraId="25E20632" w14:textId="77777777" w:rsidR="00DB7376" w:rsidRDefault="00DB7376">
      <w:pPr>
        <w:spacing w:before="60" w:after="60"/>
      </w:pPr>
    </w:p>
    <w:p w14:paraId="6B1471C5" w14:textId="77777777" w:rsidR="00DB7376" w:rsidRDefault="00000000">
      <w:pPr>
        <w:spacing w:before="80" w:after="80"/>
      </w:pPr>
      <w:r>
        <w:t>Performance will be monitored on an ongoing basis. Key measures include acquisition rates, donor retention, lifetime value (LTV), and return on investment. Because F2F is IRC’s primary channel for sustainer recruitment, vendors must demonstrate both short-term effectiveness and long-term sustainability.</w:t>
      </w:r>
    </w:p>
    <w:p w14:paraId="0A5D88F5" w14:textId="77777777" w:rsidR="00DB7376" w:rsidRDefault="00DB7376">
      <w:pPr>
        <w:spacing w:before="60" w:after="60"/>
      </w:pPr>
    </w:p>
    <w:p w14:paraId="415BD22E" w14:textId="77777777" w:rsidR="00DB7376" w:rsidRDefault="00000000">
      <w:pPr>
        <w:spacing w:before="80" w:after="80"/>
      </w:pPr>
      <w:r>
        <w:lastRenderedPageBreak/>
        <w:t>Vendors will be subject to quarterly and annual reviews, with outcomes determining continuation, expansion, or termination of the contract.</w:t>
      </w:r>
    </w:p>
    <w:p w14:paraId="7A9B0ADF" w14:textId="77777777" w:rsidR="00DB7376" w:rsidRDefault="00DB7376">
      <w:pPr>
        <w:spacing w:before="60" w:after="60"/>
      </w:pPr>
    </w:p>
    <w:p w14:paraId="28FCF6E3" w14:textId="77777777" w:rsidR="00DB7376" w:rsidRDefault="00DB7376">
      <w:pPr>
        <w:pBdr>
          <w:bottom w:val="single" w:sz="4" w:space="1" w:color="999999"/>
        </w:pBdr>
      </w:pPr>
    </w:p>
    <w:p w14:paraId="0B982F45" w14:textId="77777777" w:rsidR="00DB7376" w:rsidRDefault="00DB7376">
      <w:pPr>
        <w:spacing w:before="60" w:after="60"/>
      </w:pPr>
    </w:p>
    <w:p w14:paraId="685A2482" w14:textId="77777777" w:rsidR="00DB7376" w:rsidRDefault="00000000">
      <w:pPr>
        <w:pStyle w:val="Heading1"/>
      </w:pPr>
      <w:r>
        <w:t>Place of performance</w:t>
      </w:r>
    </w:p>
    <w:p w14:paraId="65378324" w14:textId="77777777" w:rsidR="00DB7376" w:rsidRDefault="00000000">
      <w:pPr>
        <w:spacing w:before="80" w:after="80"/>
      </w:pPr>
      <w:r>
        <w:t xml:space="preserve">Services will be delivered across the continental United States, with a focus on major metropolitan areas and mid-sized cities. Engagement methods include street fundraising, door-to-door canvassing, and limited activity at </w:t>
      </w:r>
      <w:proofErr w:type="spellStart"/>
      <w:r>
        <w:t>authorised</w:t>
      </w:r>
      <w:proofErr w:type="spellEnd"/>
      <w:r>
        <w:t xml:space="preserve"> private or semi-private venues such as shopping </w:t>
      </w:r>
      <w:proofErr w:type="spellStart"/>
      <w:r>
        <w:t>centres</w:t>
      </w:r>
      <w:proofErr w:type="spellEnd"/>
      <w:r>
        <w:t>, campuses, and events.</w:t>
      </w:r>
    </w:p>
    <w:p w14:paraId="1DAED5D8" w14:textId="77777777" w:rsidR="00DB7376" w:rsidRDefault="00DB7376">
      <w:pPr>
        <w:spacing w:before="60" w:after="60"/>
      </w:pPr>
    </w:p>
    <w:p w14:paraId="574E8A2C" w14:textId="77777777" w:rsidR="00DB7376" w:rsidRDefault="00000000">
      <w:pPr>
        <w:spacing w:before="80" w:after="80"/>
      </w:pPr>
      <w:r>
        <w:t>Vendors must demonstrate the ability to deploy rapidly to new geographies and adapt campaigns to changing seasons or donor segments.</w:t>
      </w:r>
    </w:p>
    <w:p w14:paraId="7B17977E" w14:textId="77777777" w:rsidR="00DB7376" w:rsidRDefault="00DB7376">
      <w:pPr>
        <w:spacing w:before="60" w:after="60"/>
      </w:pPr>
    </w:p>
    <w:p w14:paraId="531BB0FD" w14:textId="77777777" w:rsidR="00DB7376" w:rsidRDefault="00DB7376">
      <w:pPr>
        <w:pBdr>
          <w:bottom w:val="single" w:sz="4" w:space="1" w:color="999999"/>
        </w:pBdr>
      </w:pPr>
    </w:p>
    <w:p w14:paraId="6861A942" w14:textId="77777777" w:rsidR="00DB7376" w:rsidRDefault="00DB7376">
      <w:pPr>
        <w:spacing w:before="60" w:after="60"/>
      </w:pPr>
    </w:p>
    <w:p w14:paraId="05A73088" w14:textId="77777777" w:rsidR="00DB7376" w:rsidRDefault="00000000">
      <w:pPr>
        <w:pStyle w:val="Heading1"/>
      </w:pPr>
      <w:r>
        <w:t>Work requirements</w:t>
      </w:r>
    </w:p>
    <w:p w14:paraId="79FD85EE" w14:textId="77777777" w:rsidR="00DB7376" w:rsidRDefault="00000000">
      <w:pPr>
        <w:spacing w:before="180" w:after="60"/>
      </w:pPr>
      <w:r>
        <w:rPr>
          <w:b/>
          <w:bCs/>
        </w:rPr>
        <w:t>Vendor responsibilities</w:t>
      </w:r>
    </w:p>
    <w:p w14:paraId="0E07E1F7" w14:textId="77777777" w:rsidR="00DB7376" w:rsidRDefault="00000000">
      <w:pPr>
        <w:pStyle w:val="ListParagraph"/>
        <w:numPr>
          <w:ilvl w:val="0"/>
          <w:numId w:val="2"/>
        </w:numPr>
        <w:spacing w:before="60" w:after="60"/>
      </w:pPr>
      <w:r>
        <w:t xml:space="preserve">Recruit, train, and manage fundraising staff to </w:t>
      </w:r>
      <w:proofErr w:type="gramStart"/>
      <w:r>
        <w:t>represent IRC professionally at all times</w:t>
      </w:r>
      <w:proofErr w:type="gramEnd"/>
      <w:r>
        <w:t>.</w:t>
      </w:r>
    </w:p>
    <w:p w14:paraId="5F7486C9" w14:textId="77777777" w:rsidR="00DB7376" w:rsidRDefault="00000000">
      <w:pPr>
        <w:pStyle w:val="ListParagraph"/>
        <w:numPr>
          <w:ilvl w:val="0"/>
          <w:numId w:val="2"/>
        </w:numPr>
        <w:spacing w:before="60" w:after="60"/>
      </w:pPr>
      <w:r>
        <w:t>Secure committed donors giving on a monthly, quarterly, bi-annual, or annual basis, maintaining consistency across campaigns.</w:t>
      </w:r>
    </w:p>
    <w:p w14:paraId="1463C6DB" w14:textId="77777777" w:rsidR="00DB7376" w:rsidRDefault="00000000">
      <w:pPr>
        <w:pStyle w:val="ListParagraph"/>
        <w:numPr>
          <w:ilvl w:val="0"/>
          <w:numId w:val="2"/>
        </w:numPr>
        <w:spacing w:before="60" w:after="60"/>
      </w:pPr>
      <w:r>
        <w:t>Collect, process, and transfer donor data securely and promptly to IRC’s internal systems via the agreed API.</w:t>
      </w:r>
    </w:p>
    <w:p w14:paraId="52D0805F" w14:textId="77777777" w:rsidR="00DB7376" w:rsidRDefault="00000000">
      <w:pPr>
        <w:pStyle w:val="ListParagraph"/>
        <w:numPr>
          <w:ilvl w:val="0"/>
          <w:numId w:val="2"/>
        </w:numPr>
        <w:spacing w:before="60" w:after="60"/>
      </w:pPr>
      <w:r>
        <w:t>Maintain compliance with all applicable solicitation regulations, privacy protections, and professional fundraising standards.</w:t>
      </w:r>
    </w:p>
    <w:p w14:paraId="23D99AEC" w14:textId="77777777" w:rsidR="00DB7376" w:rsidRDefault="00000000">
      <w:pPr>
        <w:spacing w:before="180" w:after="60"/>
      </w:pPr>
      <w:r>
        <w:rPr>
          <w:b/>
          <w:bCs/>
        </w:rPr>
        <w:t>IRC responsibilities</w:t>
      </w:r>
    </w:p>
    <w:p w14:paraId="6E19247A" w14:textId="77777777" w:rsidR="00DB7376" w:rsidRDefault="00000000">
      <w:pPr>
        <w:pStyle w:val="ListParagraph"/>
        <w:numPr>
          <w:ilvl w:val="0"/>
          <w:numId w:val="2"/>
        </w:numPr>
        <w:spacing w:before="60" w:after="60"/>
      </w:pPr>
      <w:r>
        <w:t>Receive and integrate donor data into CRM systems via API transfer.</w:t>
      </w:r>
    </w:p>
    <w:p w14:paraId="559946DE" w14:textId="77777777" w:rsidR="00DB7376" w:rsidRDefault="00000000">
      <w:pPr>
        <w:pStyle w:val="ListParagraph"/>
        <w:numPr>
          <w:ilvl w:val="0"/>
          <w:numId w:val="2"/>
        </w:numPr>
        <w:spacing w:before="60" w:after="60"/>
      </w:pPr>
      <w:r>
        <w:t xml:space="preserve">Manage donor stewardship, including payment processing, communications, and cultivation activity to </w:t>
      </w:r>
      <w:proofErr w:type="spellStart"/>
      <w:r>
        <w:t>maximise</w:t>
      </w:r>
      <w:proofErr w:type="spellEnd"/>
      <w:r>
        <w:t xml:space="preserve"> LTV.</w:t>
      </w:r>
    </w:p>
    <w:p w14:paraId="744097E0" w14:textId="77777777" w:rsidR="00DB7376" w:rsidRDefault="00000000">
      <w:pPr>
        <w:pStyle w:val="ListParagraph"/>
        <w:numPr>
          <w:ilvl w:val="0"/>
          <w:numId w:val="2"/>
        </w:numPr>
        <w:spacing w:before="60" w:after="60"/>
      </w:pPr>
      <w:r>
        <w:t>Provide ongoing guidance, campaign materials, and performance feedback to vendors.</w:t>
      </w:r>
    </w:p>
    <w:p w14:paraId="6D0F556C" w14:textId="77777777" w:rsidR="00DB7376" w:rsidRDefault="00DB7376">
      <w:pPr>
        <w:spacing w:before="60" w:after="60"/>
      </w:pPr>
    </w:p>
    <w:p w14:paraId="004D038E" w14:textId="77777777" w:rsidR="00DB7376" w:rsidRDefault="00DB7376">
      <w:pPr>
        <w:pBdr>
          <w:bottom w:val="single" w:sz="4" w:space="1" w:color="999999"/>
        </w:pBdr>
      </w:pPr>
    </w:p>
    <w:p w14:paraId="258E00AE" w14:textId="77777777" w:rsidR="00DB7376" w:rsidRDefault="00DB7376">
      <w:pPr>
        <w:spacing w:before="60" w:after="60"/>
      </w:pPr>
    </w:p>
    <w:p w14:paraId="53BCDF7D" w14:textId="77777777" w:rsidR="00DB7376" w:rsidRDefault="00000000">
      <w:pPr>
        <w:pStyle w:val="Heading1"/>
      </w:pPr>
      <w:r>
        <w:t>Schedule and milestones</w:t>
      </w:r>
    </w:p>
    <w:p w14:paraId="0FD6A331" w14:textId="77777777" w:rsidR="00DB7376" w:rsidRDefault="00000000">
      <w:pPr>
        <w:spacing w:before="80" w:after="80"/>
      </w:pPr>
      <w:proofErr w:type="spellStart"/>
      <w:r>
        <w:t>Programme</w:t>
      </w:r>
      <w:proofErr w:type="spellEnd"/>
      <w:r>
        <w:t xml:space="preserve"> performance will be tracked against the following milestones:</w:t>
      </w:r>
    </w:p>
    <w:p w14:paraId="383F4E0B" w14:textId="77777777" w:rsidR="00DB7376" w:rsidRDefault="00000000">
      <w:pPr>
        <w:pStyle w:val="ListParagraph"/>
        <w:numPr>
          <w:ilvl w:val="0"/>
          <w:numId w:val="2"/>
        </w:numPr>
        <w:spacing w:before="60" w:after="60"/>
      </w:pPr>
      <w:r>
        <w:t>Speed of acquisition: how quickly new donors are secured following campaign launch.</w:t>
      </w:r>
    </w:p>
    <w:p w14:paraId="6FA1BB28" w14:textId="77777777" w:rsidR="00DB7376" w:rsidRDefault="00000000">
      <w:pPr>
        <w:pStyle w:val="ListParagraph"/>
        <w:numPr>
          <w:ilvl w:val="0"/>
          <w:numId w:val="2"/>
        </w:numPr>
        <w:spacing w:before="60" w:after="60"/>
      </w:pPr>
      <w:r>
        <w:lastRenderedPageBreak/>
        <w:t xml:space="preserve">Consistency of acquisition: sustained donor sign-up rates month </w:t>
      </w:r>
      <w:proofErr w:type="gramStart"/>
      <w:r>
        <w:t>over</w:t>
      </w:r>
      <w:proofErr w:type="gramEnd"/>
      <w:r>
        <w:t xml:space="preserve"> month.</w:t>
      </w:r>
    </w:p>
    <w:p w14:paraId="2A95F275" w14:textId="77777777" w:rsidR="00DB7376" w:rsidRDefault="00000000">
      <w:pPr>
        <w:pStyle w:val="ListParagraph"/>
        <w:numPr>
          <w:ilvl w:val="0"/>
          <w:numId w:val="2"/>
        </w:numPr>
        <w:spacing w:before="60" w:after="60"/>
      </w:pPr>
      <w:r>
        <w:t>Retention: donor retention by monthly cohort, assessed at six-month and twelve-month intervals.</w:t>
      </w:r>
    </w:p>
    <w:p w14:paraId="55832EF8" w14:textId="77777777" w:rsidR="00DB7376" w:rsidRDefault="00000000">
      <w:pPr>
        <w:pStyle w:val="ListParagraph"/>
        <w:numPr>
          <w:ilvl w:val="0"/>
          <w:numId w:val="2"/>
        </w:numPr>
        <w:spacing w:before="60" w:after="60"/>
      </w:pPr>
      <w:r>
        <w:t>Income performance: total fundraising income generated per year relative to forecast.</w:t>
      </w:r>
    </w:p>
    <w:p w14:paraId="24ADD057" w14:textId="77777777" w:rsidR="00DB7376" w:rsidRDefault="00DB7376">
      <w:pPr>
        <w:spacing w:before="60" w:after="60"/>
      </w:pPr>
    </w:p>
    <w:p w14:paraId="3B1E50D4" w14:textId="77777777" w:rsidR="00DB7376" w:rsidRDefault="00000000">
      <w:pPr>
        <w:spacing w:before="80" w:after="80"/>
      </w:pPr>
      <w:r>
        <w:t xml:space="preserve">These milestones will inform quarterly reviews and drive </w:t>
      </w:r>
      <w:proofErr w:type="spellStart"/>
      <w:r>
        <w:t>programme</w:t>
      </w:r>
      <w:proofErr w:type="spellEnd"/>
      <w:r>
        <w:t xml:space="preserve"> adjustments.</w:t>
      </w:r>
    </w:p>
    <w:p w14:paraId="150FA9D6" w14:textId="77777777" w:rsidR="00DB7376" w:rsidRDefault="00DB7376">
      <w:pPr>
        <w:spacing w:before="60" w:after="60"/>
      </w:pPr>
    </w:p>
    <w:p w14:paraId="14F341E6" w14:textId="77777777" w:rsidR="00DB7376" w:rsidRDefault="00DB7376">
      <w:pPr>
        <w:pBdr>
          <w:bottom w:val="single" w:sz="4" w:space="1" w:color="999999"/>
        </w:pBdr>
      </w:pPr>
    </w:p>
    <w:p w14:paraId="5333CF26" w14:textId="77777777" w:rsidR="00DB7376" w:rsidRDefault="00DB7376">
      <w:pPr>
        <w:spacing w:before="60" w:after="60"/>
      </w:pPr>
    </w:p>
    <w:p w14:paraId="059EC04C" w14:textId="77777777" w:rsidR="00DB7376" w:rsidRDefault="00000000">
      <w:pPr>
        <w:pStyle w:val="Heading1"/>
      </w:pPr>
      <w:r>
        <w:t>Acceptance criteria</w:t>
      </w:r>
    </w:p>
    <w:p w14:paraId="3643CEC5" w14:textId="77777777" w:rsidR="00DB7376" w:rsidRDefault="00000000">
      <w:pPr>
        <w:spacing w:before="80" w:after="80"/>
      </w:pPr>
      <w:r>
        <w:t xml:space="preserve">Performance expectations will be transparent, measurable, and </w:t>
      </w:r>
      <w:proofErr w:type="gramStart"/>
      <w:r>
        <w:t>results-driven</w:t>
      </w:r>
      <w:proofErr w:type="gramEnd"/>
      <w:r>
        <w:t>.</w:t>
      </w:r>
    </w:p>
    <w:p w14:paraId="62602704" w14:textId="77777777" w:rsidR="00DB7376" w:rsidRDefault="00000000">
      <w:pPr>
        <w:pStyle w:val="ListParagraph"/>
        <w:numPr>
          <w:ilvl w:val="0"/>
          <w:numId w:val="2"/>
        </w:numPr>
        <w:spacing w:before="60" w:after="60"/>
      </w:pPr>
      <w:r>
        <w:t>Vendors will receive explicit numerical targets covering donor volume, delivery frequency, and retention benchmarks.</w:t>
      </w:r>
    </w:p>
    <w:p w14:paraId="1DC5C149" w14:textId="77777777" w:rsidR="00DB7376" w:rsidRDefault="00000000">
      <w:pPr>
        <w:pStyle w:val="ListParagraph"/>
        <w:numPr>
          <w:ilvl w:val="0"/>
          <w:numId w:val="2"/>
        </w:numPr>
        <w:spacing w:before="60" w:after="60"/>
      </w:pPr>
      <w:r>
        <w:t>Donors will be transferred via a secure API, ensuring accuracy and timeliness.</w:t>
      </w:r>
    </w:p>
    <w:p w14:paraId="4694D886" w14:textId="77777777" w:rsidR="00DB7376" w:rsidRDefault="00000000">
      <w:pPr>
        <w:pStyle w:val="ListParagraph"/>
        <w:numPr>
          <w:ilvl w:val="0"/>
          <w:numId w:val="2"/>
        </w:numPr>
        <w:spacing w:before="60" w:after="60"/>
      </w:pPr>
      <w:r>
        <w:t>Donor performance will be evaluated against both internal metrics and relevant industry benchmarks, including retention averages, cost per acquisition, and LTV multipliers.</w:t>
      </w:r>
    </w:p>
    <w:p w14:paraId="57435FB3" w14:textId="77777777" w:rsidR="00DB7376" w:rsidRDefault="00000000">
      <w:pPr>
        <w:pStyle w:val="ListParagraph"/>
        <w:numPr>
          <w:ilvl w:val="0"/>
          <w:numId w:val="2"/>
        </w:numPr>
        <w:spacing w:before="60" w:after="60"/>
      </w:pPr>
      <w:r>
        <w:t>Only donors meeting the agreed acceptance criteria will count toward performance credit and vendor payment.</w:t>
      </w:r>
    </w:p>
    <w:p w14:paraId="4EBB39C2" w14:textId="77777777" w:rsidR="00DB7376" w:rsidRDefault="00DB7376">
      <w:pPr>
        <w:spacing w:before="60" w:after="60"/>
      </w:pPr>
    </w:p>
    <w:p w14:paraId="7FA3983F" w14:textId="77777777" w:rsidR="00DB7376" w:rsidRDefault="00DB7376">
      <w:pPr>
        <w:pBdr>
          <w:bottom w:val="single" w:sz="4" w:space="1" w:color="999999"/>
        </w:pBdr>
      </w:pPr>
    </w:p>
    <w:p w14:paraId="4214A1BF" w14:textId="77777777" w:rsidR="00DB7376" w:rsidRDefault="00DB7376">
      <w:pPr>
        <w:spacing w:before="60" w:after="60"/>
      </w:pPr>
    </w:p>
    <w:p w14:paraId="2C8DF5C7" w14:textId="77777777" w:rsidR="00DB7376" w:rsidRDefault="00000000">
      <w:pPr>
        <w:pStyle w:val="Heading1"/>
      </w:pPr>
      <w:r>
        <w:t>Other requirements</w:t>
      </w:r>
    </w:p>
    <w:p w14:paraId="5D1AA184" w14:textId="77777777" w:rsidR="00DB7376" w:rsidRDefault="00000000">
      <w:pPr>
        <w:spacing w:before="80" w:after="80"/>
      </w:pPr>
      <w:r>
        <w:t>To remain eligible to perform services under this contract, vendors must:</w:t>
      </w:r>
    </w:p>
    <w:p w14:paraId="61B33711" w14:textId="77777777" w:rsidR="00DB7376" w:rsidRDefault="00000000">
      <w:pPr>
        <w:pStyle w:val="ListParagraph"/>
        <w:numPr>
          <w:ilvl w:val="0"/>
          <w:numId w:val="2"/>
        </w:numPr>
        <w:spacing w:before="60" w:after="60"/>
      </w:pPr>
      <w:r>
        <w:t xml:space="preserve">Acquire and maintain all state solicitation </w:t>
      </w:r>
      <w:proofErr w:type="spellStart"/>
      <w:r>
        <w:t>licences</w:t>
      </w:r>
      <w:proofErr w:type="spellEnd"/>
      <w:r>
        <w:t xml:space="preserve"> required for door-to-door and street fundraising, ensuring </w:t>
      </w:r>
      <w:proofErr w:type="spellStart"/>
      <w:r>
        <w:t>licences</w:t>
      </w:r>
      <w:proofErr w:type="spellEnd"/>
      <w:r>
        <w:t xml:space="preserve"> are valid, renewed on time, and made available to IRC upon request.</w:t>
      </w:r>
    </w:p>
    <w:p w14:paraId="33547984" w14:textId="77777777" w:rsidR="00DB7376" w:rsidRDefault="00000000">
      <w:pPr>
        <w:pStyle w:val="ListParagraph"/>
        <w:numPr>
          <w:ilvl w:val="0"/>
          <w:numId w:val="2"/>
        </w:numPr>
        <w:spacing w:before="60" w:after="60"/>
      </w:pPr>
      <w:r>
        <w:t xml:space="preserve">Comply with all applicable local ordinances, </w:t>
      </w:r>
      <w:proofErr w:type="spellStart"/>
      <w:r>
        <w:t>labour</w:t>
      </w:r>
      <w:proofErr w:type="spellEnd"/>
      <w:r>
        <w:t xml:space="preserve"> regulations, and professional fundraising standards.</w:t>
      </w:r>
    </w:p>
    <w:p w14:paraId="4AC69DD6" w14:textId="77777777" w:rsidR="00DB7376" w:rsidRDefault="00000000">
      <w:pPr>
        <w:pStyle w:val="ListParagraph"/>
        <w:numPr>
          <w:ilvl w:val="0"/>
          <w:numId w:val="2"/>
        </w:numPr>
        <w:spacing w:before="60" w:after="60"/>
      </w:pPr>
      <w:r>
        <w:t>Maintain appropriate insurance coverage, liability protections, and risk-management practices for canvassing activities.</w:t>
      </w:r>
    </w:p>
    <w:p w14:paraId="40A1EF43" w14:textId="77777777" w:rsidR="00DB7376" w:rsidRDefault="00000000">
      <w:pPr>
        <w:pStyle w:val="ListParagraph"/>
        <w:numPr>
          <w:ilvl w:val="0"/>
          <w:numId w:val="2"/>
        </w:numPr>
        <w:spacing w:before="60" w:after="60"/>
      </w:pPr>
      <w:r>
        <w:t>Execute IRC’s standard Master Services Agreement (MSA) template with no changes to terms and conditions. Only metadata fields may be modified.</w:t>
      </w:r>
    </w:p>
    <w:sectPr w:rsidR="00DB7376">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CEB0C" w14:textId="77777777" w:rsidR="00AA64D6" w:rsidRDefault="00AA64D6">
      <w:r>
        <w:separator/>
      </w:r>
    </w:p>
  </w:endnote>
  <w:endnote w:type="continuationSeparator" w:id="0">
    <w:p w14:paraId="0F6E76F7" w14:textId="77777777" w:rsidR="00AA64D6" w:rsidRDefault="00AA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434F" w14:textId="77777777" w:rsidR="00DB7376" w:rsidRDefault="00000000">
    <w:pPr>
      <w:jc w:val="right"/>
    </w:pPr>
    <w:r>
      <w:rPr>
        <w:color w:val="888888"/>
        <w:sz w:val="18"/>
        <w:szCs w:val="18"/>
      </w:rPr>
      <w:t xml:space="preserve">Page </w:t>
    </w:r>
    <w:r>
      <w:rPr>
        <w:color w:val="888888"/>
        <w:sz w:val="18"/>
        <w:szCs w:val="18"/>
      </w:rPr>
      <w:fldChar w:fldCharType="begin"/>
    </w:r>
    <w:r>
      <w:rPr>
        <w:color w:val="888888"/>
        <w:sz w:val="18"/>
        <w:szCs w:val="18"/>
      </w:rPr>
      <w:instrText>PAGE</w:instrText>
    </w:r>
    <w:r>
      <w:rPr>
        <w:color w:val="888888"/>
        <w:sz w:val="18"/>
        <w:szCs w:val="18"/>
      </w:rPr>
      <w:fldChar w:fldCharType="separate"/>
    </w:r>
    <w:r w:rsidR="00C7678F">
      <w:rPr>
        <w:noProof/>
        <w:color w:val="888888"/>
        <w:sz w:val="18"/>
        <w:szCs w:val="18"/>
      </w:rPr>
      <w:t>1</w:t>
    </w:r>
    <w:r>
      <w:rPr>
        <w:color w:val="888888"/>
        <w:sz w:val="18"/>
        <w:szCs w:val="18"/>
      </w:rPr>
      <w:fldChar w:fldCharType="end"/>
    </w:r>
    <w:r>
      <w:rPr>
        <w:color w:val="888888"/>
        <w:sz w:val="18"/>
        <w:szCs w:val="18"/>
      </w:rPr>
      <w:t xml:space="preserve"> of </w:t>
    </w:r>
    <w:r>
      <w:rPr>
        <w:color w:val="888888"/>
        <w:sz w:val="18"/>
        <w:szCs w:val="18"/>
      </w:rPr>
      <w:fldChar w:fldCharType="begin"/>
    </w:r>
    <w:r>
      <w:rPr>
        <w:color w:val="888888"/>
        <w:sz w:val="18"/>
        <w:szCs w:val="18"/>
      </w:rPr>
      <w:instrText>NUMPAGES</w:instrText>
    </w:r>
    <w:r>
      <w:rPr>
        <w:color w:val="888888"/>
        <w:sz w:val="18"/>
        <w:szCs w:val="18"/>
      </w:rPr>
      <w:fldChar w:fldCharType="separate"/>
    </w:r>
    <w:r w:rsidR="00C7678F">
      <w:rPr>
        <w:noProof/>
        <w:color w:val="888888"/>
        <w:sz w:val="18"/>
        <w:szCs w:val="18"/>
      </w:rPr>
      <w:t>2</w:t>
    </w:r>
    <w:r>
      <w:rPr>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B385" w14:textId="77777777" w:rsidR="00AA64D6" w:rsidRDefault="00AA64D6">
      <w:r>
        <w:separator/>
      </w:r>
    </w:p>
  </w:footnote>
  <w:footnote w:type="continuationSeparator" w:id="0">
    <w:p w14:paraId="4ED0D6A8" w14:textId="77777777" w:rsidR="00AA64D6" w:rsidRDefault="00AA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A28AA"/>
    <w:multiLevelType w:val="hybridMultilevel"/>
    <w:tmpl w:val="983252E2"/>
    <w:lvl w:ilvl="0" w:tplc="2D3A7104">
      <w:start w:val="1"/>
      <w:numFmt w:val="bullet"/>
      <w:lvlText w:val="●"/>
      <w:lvlJc w:val="left"/>
      <w:pPr>
        <w:ind w:left="720" w:hanging="360"/>
      </w:pPr>
    </w:lvl>
    <w:lvl w:ilvl="1" w:tplc="FECC7B20">
      <w:start w:val="1"/>
      <w:numFmt w:val="bullet"/>
      <w:lvlText w:val="○"/>
      <w:lvlJc w:val="left"/>
      <w:pPr>
        <w:ind w:left="1440" w:hanging="360"/>
      </w:pPr>
    </w:lvl>
    <w:lvl w:ilvl="2" w:tplc="10A4C812">
      <w:start w:val="1"/>
      <w:numFmt w:val="bullet"/>
      <w:lvlText w:val="■"/>
      <w:lvlJc w:val="left"/>
      <w:pPr>
        <w:ind w:left="2160" w:hanging="360"/>
      </w:pPr>
    </w:lvl>
    <w:lvl w:ilvl="3" w:tplc="F26CDB90">
      <w:start w:val="1"/>
      <w:numFmt w:val="bullet"/>
      <w:lvlText w:val="●"/>
      <w:lvlJc w:val="left"/>
      <w:pPr>
        <w:ind w:left="2880" w:hanging="360"/>
      </w:pPr>
    </w:lvl>
    <w:lvl w:ilvl="4" w:tplc="C4E2B5F8">
      <w:start w:val="1"/>
      <w:numFmt w:val="bullet"/>
      <w:lvlText w:val="○"/>
      <w:lvlJc w:val="left"/>
      <w:pPr>
        <w:ind w:left="3600" w:hanging="360"/>
      </w:pPr>
    </w:lvl>
    <w:lvl w:ilvl="5" w:tplc="88F0BF16">
      <w:start w:val="1"/>
      <w:numFmt w:val="bullet"/>
      <w:lvlText w:val="■"/>
      <w:lvlJc w:val="left"/>
      <w:pPr>
        <w:ind w:left="4320" w:hanging="360"/>
      </w:pPr>
    </w:lvl>
    <w:lvl w:ilvl="6" w:tplc="494414CE">
      <w:start w:val="1"/>
      <w:numFmt w:val="bullet"/>
      <w:lvlText w:val="●"/>
      <w:lvlJc w:val="left"/>
      <w:pPr>
        <w:ind w:left="5040" w:hanging="360"/>
      </w:pPr>
    </w:lvl>
    <w:lvl w:ilvl="7" w:tplc="9A6A6042">
      <w:start w:val="1"/>
      <w:numFmt w:val="bullet"/>
      <w:lvlText w:val="●"/>
      <w:lvlJc w:val="left"/>
      <w:pPr>
        <w:ind w:left="5760" w:hanging="360"/>
      </w:pPr>
    </w:lvl>
    <w:lvl w:ilvl="8" w:tplc="332EEDE2">
      <w:start w:val="1"/>
      <w:numFmt w:val="bullet"/>
      <w:lvlText w:val="●"/>
      <w:lvlJc w:val="left"/>
      <w:pPr>
        <w:ind w:left="6480" w:hanging="360"/>
      </w:pPr>
    </w:lvl>
  </w:abstractNum>
  <w:abstractNum w:abstractNumId="1" w15:restartNumberingAfterBreak="0">
    <w:nsid w:val="3ADB2C1B"/>
    <w:multiLevelType w:val="hybridMultilevel"/>
    <w:tmpl w:val="A7E6CAB6"/>
    <w:lvl w:ilvl="0" w:tplc="1E948BCA">
      <w:start w:val="1"/>
      <w:numFmt w:val="bullet"/>
      <w:lvlText w:val="•"/>
      <w:lvlJc w:val="left"/>
      <w:pPr>
        <w:ind w:left="720" w:hanging="360"/>
      </w:pPr>
    </w:lvl>
    <w:lvl w:ilvl="1" w:tplc="6DF85E30">
      <w:numFmt w:val="decimal"/>
      <w:lvlText w:val=""/>
      <w:lvlJc w:val="left"/>
    </w:lvl>
    <w:lvl w:ilvl="2" w:tplc="B7F85EE8">
      <w:numFmt w:val="decimal"/>
      <w:lvlText w:val=""/>
      <w:lvlJc w:val="left"/>
    </w:lvl>
    <w:lvl w:ilvl="3" w:tplc="3EA2596E">
      <w:numFmt w:val="decimal"/>
      <w:lvlText w:val=""/>
      <w:lvlJc w:val="left"/>
    </w:lvl>
    <w:lvl w:ilvl="4" w:tplc="52E8E058">
      <w:numFmt w:val="decimal"/>
      <w:lvlText w:val=""/>
      <w:lvlJc w:val="left"/>
    </w:lvl>
    <w:lvl w:ilvl="5" w:tplc="1E0292D2">
      <w:numFmt w:val="decimal"/>
      <w:lvlText w:val=""/>
      <w:lvlJc w:val="left"/>
    </w:lvl>
    <w:lvl w:ilvl="6" w:tplc="F126CA26">
      <w:numFmt w:val="decimal"/>
      <w:lvlText w:val=""/>
      <w:lvlJc w:val="left"/>
    </w:lvl>
    <w:lvl w:ilvl="7" w:tplc="93E09722">
      <w:numFmt w:val="decimal"/>
      <w:lvlText w:val=""/>
      <w:lvlJc w:val="left"/>
    </w:lvl>
    <w:lvl w:ilvl="8" w:tplc="65AA9690">
      <w:numFmt w:val="decimal"/>
      <w:lvlText w:val=""/>
      <w:lvlJc w:val="left"/>
    </w:lvl>
  </w:abstractNum>
  <w:num w:numId="1" w16cid:durableId="1574001146">
    <w:abstractNumId w:val="0"/>
    <w:lvlOverride w:ilvl="0">
      <w:startOverride w:val="1"/>
    </w:lvlOverride>
  </w:num>
  <w:num w:numId="2" w16cid:durableId="24773330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376"/>
    <w:rsid w:val="00AA64D6"/>
    <w:rsid w:val="00B74C64"/>
    <w:rsid w:val="00C7678F"/>
    <w:rsid w:val="00DB7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5C724"/>
  <w15:docId w15:val="{7E606AFC-2EE6-45FD-87FA-62A8D6318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sz w:val="28"/>
      <w:szCs w:val="2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723</Words>
  <Characters>3949</Characters>
  <Application>Microsoft Office Word</Application>
  <DocSecurity>0</DocSecurity>
  <Lines>164</Lines>
  <Paragraphs>64</Paragraphs>
  <ScaleCrop>false</ScaleCrop>
  <HeadingPairs>
    <vt:vector size="2" baseType="variant">
      <vt:variant>
        <vt:lpstr>Title</vt:lpstr>
      </vt:variant>
      <vt:variant>
        <vt:i4>1</vt:i4>
      </vt:variant>
    </vt:vector>
  </HeadingPairs>
  <TitlesOfParts>
    <vt:vector size="1" baseType="lpstr">
      <vt:lpstr/>
    </vt:vector>
  </TitlesOfParts>
  <Company>International Rescue Committee</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Matthew.Bergin@rescue-uk.org</dc:creator>
  <cp:lastModifiedBy>Matthew Bergin</cp:lastModifiedBy>
  <cp:revision>2</cp:revision>
  <dcterms:created xsi:type="dcterms:W3CDTF">2026-06-01T12:58:00Z</dcterms:created>
  <dcterms:modified xsi:type="dcterms:W3CDTF">2026-06-01T13:11:00Z</dcterms:modified>
</cp:coreProperties>
</file>