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0"/>
        <w:gridCol w:w="7770"/>
      </w:tblGrid>
      <w:tr w:rsidR="00B640ED" w:rsidRPr="0015126B" w14:paraId="04B7D425" w14:textId="77777777" w:rsidTr="1B4005FB">
        <w:tc>
          <w:tcPr>
            <w:tcW w:w="1615" w:type="dxa"/>
          </w:tcPr>
          <w:p w14:paraId="43CDC824" w14:textId="3E4F9185" w:rsidR="00B640ED" w:rsidRPr="0015126B" w:rsidRDefault="00B640ED" w:rsidP="00394946">
            <w:pPr>
              <w:outlineLvl w:val="1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 w:rsidRPr="0015126B">
              <w:rPr>
                <w:rFonts w:asciiTheme="minorBidi" w:eastAsia="Times New Roman" w:hAnsiTheme="minorBidi"/>
                <w:b/>
                <w:bCs/>
                <w:noProof/>
                <w:color w:val="000000"/>
              </w:rPr>
              <w:drawing>
                <wp:inline distT="0" distB="0" distL="0" distR="0" wp14:anchorId="0D8E6AE5" wp14:editId="15574E15">
                  <wp:extent cx="730250" cy="973396"/>
                  <wp:effectExtent l="0" t="0" r="0" b="0"/>
                  <wp:docPr id="1942794129" name="Picture 1" descr="A yellow and black sign with a letter 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794129" name="Picture 1" descr="A yellow and black sign with a letter r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542" cy="979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55" w:type="dxa"/>
          </w:tcPr>
          <w:p w14:paraId="5BD89D11" w14:textId="2F3DACF0" w:rsidR="00B97D9B" w:rsidRPr="0015126B" w:rsidRDefault="1B4005FB" w:rsidP="00B97D9B">
            <w:pPr>
              <w:outlineLvl w:val="1"/>
              <w:rPr>
                <w:rFonts w:asciiTheme="minorBidi" w:eastAsia="Times New Roman" w:hAnsiTheme="minorBidi"/>
                <w:color w:val="000000" w:themeColor="text1"/>
                <w:sz w:val="24"/>
                <w:szCs w:val="24"/>
              </w:rPr>
            </w:pPr>
            <w:r w:rsidRPr="0015126B">
              <w:rPr>
                <w:rFonts w:asciiTheme="minorBidi" w:eastAsia="Times New Roman" w:hAnsiTheme="minorBidi"/>
                <w:b/>
                <w:bCs/>
                <w:color w:val="000000" w:themeColor="text1"/>
                <w:sz w:val="24"/>
                <w:szCs w:val="24"/>
              </w:rPr>
              <w:t xml:space="preserve">Title: </w:t>
            </w:r>
            <w:r w:rsidR="00B97D9B" w:rsidRPr="0015126B">
              <w:rPr>
                <w:rFonts w:asciiTheme="minorBidi" w:eastAsia="Times New Roman" w:hAnsiTheme="minorBidi"/>
                <w:color w:val="000000" w:themeColor="text1"/>
                <w:sz w:val="24"/>
                <w:szCs w:val="24"/>
              </w:rPr>
              <w:t>Feasibility Assessment for Mental Health Agency Licensure and Billing</w:t>
            </w:r>
          </w:p>
          <w:p w14:paraId="74410D94" w14:textId="1CE7EC92" w:rsidR="00B640ED" w:rsidRPr="0015126B" w:rsidRDefault="00B640ED" w:rsidP="1B4005FB">
            <w:pPr>
              <w:outlineLvl w:val="1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</w:p>
          <w:p w14:paraId="2F9B921E" w14:textId="77777777" w:rsidR="00B640ED" w:rsidRPr="0015126B" w:rsidRDefault="00B640ED" w:rsidP="00B640ED">
            <w:pPr>
              <w:outlineLvl w:val="1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15126B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Organization:</w:t>
            </w:r>
            <w:r w:rsidRPr="0015126B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 xml:space="preserve"> International Rescue Committee</w:t>
            </w:r>
          </w:p>
          <w:p w14:paraId="4883D60F" w14:textId="77777777" w:rsidR="00B640ED" w:rsidRPr="0015126B" w:rsidRDefault="00B640ED" w:rsidP="00394946">
            <w:pPr>
              <w:outlineLvl w:val="1"/>
              <w:rPr>
                <w:rFonts w:asciiTheme="minorBidi" w:eastAsia="Times New Roman" w:hAnsiTheme="minorBidi"/>
                <w:b/>
                <w:bCs/>
                <w:color w:val="000000"/>
              </w:rPr>
            </w:pPr>
          </w:p>
        </w:tc>
      </w:tr>
    </w:tbl>
    <w:p w14:paraId="3C91216E" w14:textId="2B3F57AB" w:rsidR="002A321C" w:rsidRPr="0015126B" w:rsidRDefault="002A321C" w:rsidP="00394946">
      <w:pPr>
        <w:spacing w:after="0" w:line="240" w:lineRule="auto"/>
        <w:rPr>
          <w:rFonts w:asciiTheme="minorBidi" w:hAnsiTheme="minorBidi"/>
        </w:rPr>
      </w:pPr>
    </w:p>
    <w:p w14:paraId="0C8AB727" w14:textId="77777777" w:rsidR="001C2E6C" w:rsidRPr="0015126B" w:rsidRDefault="001C2E6C" w:rsidP="00394946">
      <w:pPr>
        <w:spacing w:after="0" w:line="240" w:lineRule="auto"/>
        <w:rPr>
          <w:rFonts w:asciiTheme="minorBidi" w:hAnsiTheme="minorBidi"/>
        </w:rPr>
      </w:pPr>
    </w:p>
    <w:p w14:paraId="2E17897A" w14:textId="77777777" w:rsidR="0037043A" w:rsidRPr="0015126B" w:rsidRDefault="0037043A" w:rsidP="001C2E6C">
      <w:pPr>
        <w:pStyle w:val="ListParagraph"/>
        <w:numPr>
          <w:ilvl w:val="0"/>
          <w:numId w:val="20"/>
        </w:numPr>
        <w:spacing w:after="120"/>
        <w:ind w:left="360"/>
        <w:rPr>
          <w:rFonts w:asciiTheme="minorBidi" w:hAnsiTheme="minorBidi" w:cstheme="minorBidi"/>
          <w:b/>
          <w:bCs/>
          <w:sz w:val="22"/>
          <w:szCs w:val="22"/>
        </w:rPr>
      </w:pPr>
      <w:r w:rsidRPr="0015126B">
        <w:rPr>
          <w:rFonts w:asciiTheme="minorBidi" w:hAnsiTheme="minorBidi" w:cstheme="minorBidi"/>
          <w:b/>
          <w:bCs/>
          <w:sz w:val="22"/>
          <w:szCs w:val="22"/>
        </w:rPr>
        <w:t>BACKGROUND</w:t>
      </w:r>
    </w:p>
    <w:p w14:paraId="31DBB069" w14:textId="3327935D" w:rsidR="00496D37" w:rsidRPr="0015126B" w:rsidRDefault="1B4005FB" w:rsidP="00223A6D">
      <w:pPr>
        <w:pStyle w:val="ListParagraph"/>
        <w:ind w:left="360"/>
        <w:rPr>
          <w:rFonts w:asciiTheme="minorBidi" w:hAnsiTheme="minorBidi" w:cstheme="minorBidi"/>
          <w:sz w:val="22"/>
          <w:szCs w:val="22"/>
        </w:rPr>
      </w:pPr>
      <w:r w:rsidRPr="0015126B">
        <w:rPr>
          <w:rFonts w:asciiTheme="minorBidi" w:hAnsiTheme="minorBidi" w:cstheme="minorBidi"/>
          <w:sz w:val="22"/>
          <w:szCs w:val="22"/>
        </w:rPr>
        <w:t xml:space="preserve">The International Rescue Committee, Inc. (IRC) is </w:t>
      </w:r>
      <w:r w:rsidR="003612FE" w:rsidRPr="0015126B">
        <w:rPr>
          <w:rFonts w:asciiTheme="minorBidi" w:hAnsiTheme="minorBidi" w:cstheme="minorBidi"/>
          <w:sz w:val="22"/>
          <w:szCs w:val="22"/>
        </w:rPr>
        <w:t>considering whether to pursue licensure as a mental health care agency capable of billing for outpatient clinical services in the United States.</w:t>
      </w:r>
      <w:r w:rsidRPr="0015126B">
        <w:rPr>
          <w:rFonts w:asciiTheme="minorBidi" w:hAnsiTheme="minorBidi" w:cstheme="minorBidi"/>
          <w:sz w:val="22"/>
          <w:szCs w:val="22"/>
        </w:rPr>
        <w:t xml:space="preserve"> </w:t>
      </w:r>
      <w:r w:rsidR="00223A6D" w:rsidRPr="0015126B">
        <w:rPr>
          <w:rFonts w:asciiTheme="minorBidi" w:hAnsiTheme="minorBidi" w:cstheme="minorBidi"/>
          <w:sz w:val="22"/>
          <w:szCs w:val="22"/>
        </w:rPr>
        <w:t xml:space="preserve">This would represent a significant institutional decision with implications for regulatory compliance, financial sustainability, systems and infrastructure, staffing models, governance, and organizational risk. </w:t>
      </w:r>
    </w:p>
    <w:p w14:paraId="2679DBD4" w14:textId="34F2E750" w:rsidR="00A047D1" w:rsidRPr="0015126B" w:rsidRDefault="00A047D1" w:rsidP="002C1160">
      <w:pPr>
        <w:pStyle w:val="ListParagraph"/>
        <w:ind w:left="360"/>
        <w:rPr>
          <w:rFonts w:asciiTheme="minorBidi" w:hAnsiTheme="minorBidi" w:cstheme="minorBidi"/>
          <w:sz w:val="22"/>
          <w:szCs w:val="22"/>
        </w:rPr>
      </w:pPr>
      <w:r w:rsidRPr="0015126B">
        <w:rPr>
          <w:rFonts w:asciiTheme="minorBidi" w:hAnsiTheme="minorBidi" w:cstheme="minorBidi"/>
          <w:sz w:val="22"/>
          <w:szCs w:val="22"/>
        </w:rPr>
        <w:br/>
      </w:r>
      <w:r w:rsidR="00F55A45" w:rsidRPr="0015126B">
        <w:rPr>
          <w:rFonts w:asciiTheme="minorBidi" w:hAnsiTheme="minorBidi" w:cstheme="minorBidi"/>
          <w:sz w:val="22"/>
          <w:szCs w:val="22"/>
        </w:rPr>
        <w:t xml:space="preserve">The IRC is seeking a qualified consultant or firm to conduct a </w:t>
      </w:r>
      <w:r w:rsidR="002C1160" w:rsidRPr="0015126B">
        <w:rPr>
          <w:rFonts w:asciiTheme="minorBidi" w:hAnsiTheme="minorBidi" w:cstheme="minorBidi"/>
          <w:sz w:val="22"/>
          <w:szCs w:val="22"/>
        </w:rPr>
        <w:t>decision-grade feasibility assessment to equip executive leadership with the information required to determine whether IRC should proceed with further exploration. We</w:t>
      </w:r>
      <w:r w:rsidRPr="0015126B">
        <w:rPr>
          <w:rFonts w:asciiTheme="minorBidi" w:hAnsiTheme="minorBidi" w:cstheme="minorBidi"/>
          <w:sz w:val="22"/>
          <w:szCs w:val="22"/>
        </w:rPr>
        <w:t xml:space="preserve"> seek a qualified consultant or firm with expertise in behavioral health operations, reimbursement models, and regulatory compliance to conduct </w:t>
      </w:r>
      <w:r w:rsidR="002C1160" w:rsidRPr="0015126B">
        <w:rPr>
          <w:rFonts w:asciiTheme="minorBidi" w:hAnsiTheme="minorBidi" w:cstheme="minorBidi"/>
          <w:sz w:val="22"/>
          <w:szCs w:val="22"/>
        </w:rPr>
        <w:t xml:space="preserve">this </w:t>
      </w:r>
      <w:r w:rsidR="006634D8" w:rsidRPr="0015126B">
        <w:rPr>
          <w:rFonts w:asciiTheme="minorBidi" w:hAnsiTheme="minorBidi" w:cstheme="minorBidi"/>
          <w:sz w:val="22"/>
          <w:szCs w:val="22"/>
        </w:rPr>
        <w:t>feasibility assessment in relation to four states – California, Arizona, Georgia and Idaho</w:t>
      </w:r>
      <w:r w:rsidRPr="0015126B">
        <w:rPr>
          <w:rFonts w:asciiTheme="minorBidi" w:hAnsiTheme="minorBidi" w:cstheme="minorBidi"/>
          <w:sz w:val="22"/>
          <w:szCs w:val="22"/>
        </w:rPr>
        <w:t>.</w:t>
      </w:r>
    </w:p>
    <w:p w14:paraId="7748408B" w14:textId="77777777" w:rsidR="00A047D1" w:rsidRPr="0015126B" w:rsidRDefault="00A047D1" w:rsidP="00394946">
      <w:pPr>
        <w:spacing w:after="0" w:line="240" w:lineRule="auto"/>
        <w:ind w:left="360"/>
        <w:rPr>
          <w:rFonts w:asciiTheme="minorBidi" w:hAnsiTheme="minorBidi"/>
        </w:rPr>
      </w:pPr>
    </w:p>
    <w:p w14:paraId="0B652A6D" w14:textId="7BC38A02" w:rsidR="00F649D6" w:rsidRPr="0015126B" w:rsidRDefault="00F649D6" w:rsidP="001C2E6C">
      <w:pPr>
        <w:pStyle w:val="ListParagraph"/>
        <w:numPr>
          <w:ilvl w:val="0"/>
          <w:numId w:val="20"/>
        </w:numPr>
        <w:spacing w:after="120"/>
        <w:ind w:left="360"/>
        <w:rPr>
          <w:rFonts w:asciiTheme="minorBidi" w:hAnsiTheme="minorBidi" w:cstheme="minorBidi"/>
          <w:b/>
          <w:bCs/>
          <w:sz w:val="22"/>
          <w:szCs w:val="22"/>
        </w:rPr>
      </w:pPr>
      <w:r w:rsidRPr="0015126B">
        <w:rPr>
          <w:rFonts w:asciiTheme="minorBidi" w:hAnsiTheme="minorBidi" w:cstheme="minorBidi"/>
          <w:b/>
          <w:bCs/>
          <w:sz w:val="22"/>
          <w:szCs w:val="22"/>
        </w:rPr>
        <w:t>GOALS</w:t>
      </w:r>
    </w:p>
    <w:p w14:paraId="419F47B6" w14:textId="77777777" w:rsidR="00C01584" w:rsidRPr="0015126B" w:rsidRDefault="1B4005FB" w:rsidP="00C01584">
      <w:pPr>
        <w:spacing w:after="120" w:line="240" w:lineRule="auto"/>
        <w:ind w:left="360"/>
        <w:rPr>
          <w:rFonts w:asciiTheme="minorBidi" w:hAnsiTheme="minorBidi"/>
        </w:rPr>
      </w:pPr>
      <w:r w:rsidRPr="0015126B">
        <w:rPr>
          <w:rFonts w:asciiTheme="minorBidi" w:hAnsiTheme="minorBidi"/>
        </w:rPr>
        <w:t xml:space="preserve">The goal of this engagement is to understand the financial, operational, and regulatory implications of IRC becoming a mental health agency capable of billing for behavioral health services. </w:t>
      </w:r>
      <w:r w:rsidR="00C01584" w:rsidRPr="0015126B">
        <w:rPr>
          <w:rFonts w:asciiTheme="minorBidi" w:hAnsiTheme="minorBidi"/>
        </w:rPr>
        <w:t>A feasibility assessment is required to provide leadership with an evidence</w:t>
      </w:r>
      <w:r w:rsidR="00C01584" w:rsidRPr="0015126B">
        <w:rPr>
          <w:rFonts w:asciiTheme="minorBidi" w:hAnsiTheme="minorBidi"/>
        </w:rPr>
        <w:noBreakHyphen/>
        <w:t>based analysis of:</w:t>
      </w:r>
    </w:p>
    <w:p w14:paraId="23FA9D4F" w14:textId="77777777" w:rsidR="008C0956" w:rsidRPr="0015126B" w:rsidRDefault="008C0956" w:rsidP="008C0956">
      <w:pPr>
        <w:numPr>
          <w:ilvl w:val="0"/>
          <w:numId w:val="28"/>
        </w:numPr>
        <w:spacing w:after="120" w:line="240" w:lineRule="auto"/>
        <w:rPr>
          <w:rFonts w:asciiTheme="minorBidi" w:hAnsiTheme="minorBidi"/>
        </w:rPr>
      </w:pPr>
      <w:r w:rsidRPr="0015126B">
        <w:rPr>
          <w:rFonts w:asciiTheme="minorBidi" w:hAnsiTheme="minorBidi"/>
          <w:b/>
          <w:bCs/>
        </w:rPr>
        <w:t>Regulatory feasibility:</w:t>
      </w:r>
      <w:r w:rsidRPr="0015126B">
        <w:rPr>
          <w:rFonts w:asciiTheme="minorBidi" w:hAnsiTheme="minorBidi"/>
        </w:rPr>
        <w:t xml:space="preserve"> High</w:t>
      </w:r>
      <w:r w:rsidRPr="0015126B">
        <w:rPr>
          <w:rFonts w:asciiTheme="minorBidi" w:hAnsiTheme="minorBidi"/>
        </w:rPr>
        <w:noBreakHyphen/>
        <w:t>level licensure pathways, Medicaid and other payer participation requirements, and compliance considerations</w:t>
      </w:r>
    </w:p>
    <w:p w14:paraId="60036042" w14:textId="77777777" w:rsidR="00045EAB" w:rsidRPr="0015126B" w:rsidRDefault="00045EAB" w:rsidP="00045EAB">
      <w:pPr>
        <w:numPr>
          <w:ilvl w:val="0"/>
          <w:numId w:val="28"/>
        </w:numPr>
        <w:spacing w:after="120" w:line="240" w:lineRule="auto"/>
        <w:rPr>
          <w:rFonts w:asciiTheme="minorBidi" w:hAnsiTheme="minorBidi"/>
        </w:rPr>
      </w:pPr>
      <w:r w:rsidRPr="0015126B">
        <w:rPr>
          <w:rFonts w:asciiTheme="minorBidi" w:hAnsiTheme="minorBidi"/>
          <w:b/>
          <w:bCs/>
        </w:rPr>
        <w:t>Financial viability:</w:t>
      </w:r>
      <w:r w:rsidRPr="0015126B">
        <w:rPr>
          <w:rFonts w:asciiTheme="minorBidi" w:hAnsiTheme="minorBidi"/>
        </w:rPr>
        <w:t xml:space="preserve"> Order</w:t>
      </w:r>
      <w:r w:rsidRPr="0015126B">
        <w:rPr>
          <w:rFonts w:asciiTheme="minorBidi" w:hAnsiTheme="minorBidi"/>
        </w:rPr>
        <w:noBreakHyphen/>
        <w:t>of</w:t>
      </w:r>
      <w:r w:rsidRPr="0015126B">
        <w:rPr>
          <w:rFonts w:asciiTheme="minorBidi" w:hAnsiTheme="minorBidi"/>
        </w:rPr>
        <w:noBreakHyphen/>
        <w:t>magnitude start</w:t>
      </w:r>
      <w:r w:rsidRPr="0015126B">
        <w:rPr>
          <w:rFonts w:asciiTheme="minorBidi" w:hAnsiTheme="minorBidi"/>
        </w:rPr>
        <w:noBreakHyphen/>
        <w:t>up and ongoing costs, revenue potential, breakeven considerations, and financial risk</w:t>
      </w:r>
    </w:p>
    <w:p w14:paraId="0AB78014" w14:textId="77777777" w:rsidR="00045EAB" w:rsidRPr="0015126B" w:rsidRDefault="00045EAB" w:rsidP="00045EAB">
      <w:pPr>
        <w:numPr>
          <w:ilvl w:val="0"/>
          <w:numId w:val="28"/>
        </w:numPr>
        <w:spacing w:after="120" w:line="240" w:lineRule="auto"/>
        <w:rPr>
          <w:rFonts w:asciiTheme="minorBidi" w:eastAsia="Times New Roman" w:hAnsiTheme="minorBidi"/>
        </w:rPr>
      </w:pPr>
      <w:r w:rsidRPr="0015126B">
        <w:rPr>
          <w:rFonts w:asciiTheme="minorBidi" w:eastAsia="Times New Roman" w:hAnsiTheme="minorBidi"/>
          <w:b/>
          <w:bCs/>
        </w:rPr>
        <w:t>Operational readiness:</w:t>
      </w:r>
      <w:r w:rsidRPr="0015126B">
        <w:rPr>
          <w:rFonts w:asciiTheme="minorBidi" w:eastAsia="Times New Roman" w:hAnsiTheme="minorBidi"/>
        </w:rPr>
        <w:t xml:space="preserve"> Implications for systems (IT, billing, compliance), staffing models, clinical oversight, and governance</w:t>
      </w:r>
    </w:p>
    <w:p w14:paraId="556B9F84" w14:textId="77777777" w:rsidR="00045EAB" w:rsidRPr="0015126B" w:rsidRDefault="00045EAB" w:rsidP="00045EAB">
      <w:pPr>
        <w:numPr>
          <w:ilvl w:val="0"/>
          <w:numId w:val="28"/>
        </w:numPr>
        <w:spacing w:after="120" w:line="240" w:lineRule="auto"/>
        <w:rPr>
          <w:rFonts w:asciiTheme="minorBidi" w:hAnsiTheme="minorBidi"/>
        </w:rPr>
      </w:pPr>
      <w:r w:rsidRPr="0015126B">
        <w:rPr>
          <w:rFonts w:asciiTheme="minorBidi" w:hAnsiTheme="minorBidi"/>
          <w:b/>
          <w:bCs/>
        </w:rPr>
        <w:t>Risk exposure:</w:t>
      </w:r>
      <w:r w:rsidRPr="0015126B">
        <w:rPr>
          <w:rFonts w:asciiTheme="minorBidi" w:hAnsiTheme="minorBidi"/>
        </w:rPr>
        <w:t xml:space="preserve"> Organizational, clinical, compliance, financial, and reputational risks associated with billable care</w:t>
      </w:r>
    </w:p>
    <w:p w14:paraId="1CD3604D" w14:textId="77777777" w:rsidR="00045EAB" w:rsidRPr="0015126B" w:rsidRDefault="00045EAB" w:rsidP="00045EAB">
      <w:pPr>
        <w:numPr>
          <w:ilvl w:val="0"/>
          <w:numId w:val="28"/>
        </w:numPr>
        <w:spacing w:after="120" w:line="240" w:lineRule="auto"/>
        <w:rPr>
          <w:rFonts w:asciiTheme="minorBidi" w:hAnsiTheme="minorBidi"/>
        </w:rPr>
      </w:pPr>
      <w:r w:rsidRPr="0015126B">
        <w:rPr>
          <w:rFonts w:asciiTheme="minorBidi" w:hAnsiTheme="minorBidi"/>
          <w:b/>
          <w:bCs/>
        </w:rPr>
        <w:t>Strategic options:</w:t>
      </w:r>
      <w:r w:rsidRPr="0015126B">
        <w:rPr>
          <w:rFonts w:asciiTheme="minorBidi" w:hAnsiTheme="minorBidi"/>
        </w:rPr>
        <w:t xml:space="preserve"> Comparison of potential approaches, including pilot vs. scale, partnership vs. standalone models, and telehealth</w:t>
      </w:r>
      <w:r w:rsidRPr="0015126B">
        <w:rPr>
          <w:rFonts w:asciiTheme="minorBidi" w:hAnsiTheme="minorBidi"/>
        </w:rPr>
        <w:noBreakHyphen/>
        <w:t>enabled strategies</w:t>
      </w:r>
    </w:p>
    <w:p w14:paraId="296377CD" w14:textId="77777777" w:rsidR="00CA3540" w:rsidRPr="0015126B" w:rsidRDefault="00CA3540" w:rsidP="0015126B">
      <w:pPr>
        <w:pStyle w:val="NormalWeb"/>
        <w:numPr>
          <w:ilvl w:val="0"/>
          <w:numId w:val="32"/>
        </w:numPr>
        <w:rPr>
          <w:rFonts w:asciiTheme="minorBidi" w:hAnsiTheme="minorBidi" w:cstheme="minorBidi"/>
          <w:sz w:val="22"/>
          <w:szCs w:val="22"/>
        </w:rPr>
      </w:pPr>
      <w:r w:rsidRPr="0015126B">
        <w:rPr>
          <w:rStyle w:val="Strong"/>
          <w:rFonts w:asciiTheme="minorBidi" w:hAnsiTheme="minorBidi" w:cstheme="minorBidi"/>
          <w:sz w:val="22"/>
          <w:szCs w:val="22"/>
        </w:rPr>
        <w:t>Implementation timeline:</w:t>
      </w:r>
      <w:r w:rsidRPr="0015126B">
        <w:rPr>
          <w:rFonts w:asciiTheme="minorBidi" w:hAnsiTheme="minorBidi" w:cstheme="minorBidi"/>
          <w:sz w:val="22"/>
          <w:szCs w:val="22"/>
        </w:rPr>
        <w:t xml:space="preserve"> Milestones from agency formation to first billable service</w:t>
      </w:r>
    </w:p>
    <w:p w14:paraId="4C419303" w14:textId="3C154340" w:rsidR="00C11534" w:rsidRPr="0015126B" w:rsidRDefault="00CA3540" w:rsidP="0015126B">
      <w:pPr>
        <w:pStyle w:val="NormalWeb"/>
        <w:numPr>
          <w:ilvl w:val="0"/>
          <w:numId w:val="33"/>
        </w:numPr>
        <w:rPr>
          <w:rFonts w:asciiTheme="minorBidi" w:hAnsiTheme="minorBidi" w:cstheme="minorBidi"/>
          <w:sz w:val="22"/>
          <w:szCs w:val="22"/>
        </w:rPr>
      </w:pPr>
      <w:r w:rsidRPr="0015126B">
        <w:rPr>
          <w:rStyle w:val="Strong"/>
          <w:rFonts w:asciiTheme="minorBidi" w:hAnsiTheme="minorBidi" w:cstheme="minorBidi"/>
          <w:sz w:val="22"/>
          <w:szCs w:val="22"/>
        </w:rPr>
        <w:t>Client population viability:</w:t>
      </w:r>
      <w:r w:rsidRPr="0015126B">
        <w:rPr>
          <w:rFonts w:asciiTheme="minorBidi" w:hAnsiTheme="minorBidi" w:cstheme="minorBidi"/>
          <w:sz w:val="22"/>
          <w:szCs w:val="22"/>
        </w:rPr>
        <w:t xml:space="preserve"> Demand, service gaps, and eligibility considerations for IRC’s target population</w:t>
      </w:r>
      <w:r w:rsidR="00620CE6" w:rsidRPr="0015126B">
        <w:rPr>
          <w:rFonts w:asciiTheme="minorBidi" w:hAnsiTheme="minorBidi" w:cstheme="minorBidi"/>
          <w:sz w:val="22"/>
          <w:szCs w:val="22"/>
        </w:rPr>
        <w:t xml:space="preserve"> (</w:t>
      </w:r>
      <w:r w:rsidR="007E191C" w:rsidRPr="0015126B">
        <w:rPr>
          <w:rFonts w:asciiTheme="minorBidi" w:hAnsiTheme="minorBidi" w:cstheme="minorBidi"/>
          <w:sz w:val="22"/>
          <w:szCs w:val="22"/>
        </w:rPr>
        <w:t>for purposes of this assessment, we are looking at people from immigrant and refugee backgrounds</w:t>
      </w:r>
      <w:r w:rsidR="001616EC" w:rsidRPr="0015126B">
        <w:rPr>
          <w:rFonts w:asciiTheme="minorBidi" w:hAnsiTheme="minorBidi" w:cstheme="minorBidi"/>
          <w:sz w:val="22"/>
          <w:szCs w:val="22"/>
        </w:rPr>
        <w:br/>
      </w:r>
    </w:p>
    <w:p w14:paraId="1A23F3A0" w14:textId="38A2CA6E" w:rsidR="001616EC" w:rsidRPr="0015126B" w:rsidRDefault="001616EC" w:rsidP="0015126B">
      <w:pPr>
        <w:pStyle w:val="NormalWeb"/>
        <w:rPr>
          <w:rFonts w:asciiTheme="minorBidi" w:hAnsiTheme="minorBidi" w:cstheme="minorBidi"/>
          <w:sz w:val="22"/>
          <w:szCs w:val="22"/>
        </w:rPr>
      </w:pPr>
      <w:r w:rsidRPr="0015126B">
        <w:rPr>
          <w:rFonts w:asciiTheme="minorBidi" w:hAnsiTheme="minorBidi" w:cstheme="minorBidi"/>
          <w:sz w:val="22"/>
          <w:szCs w:val="22"/>
        </w:rPr>
        <w:t xml:space="preserve">The assessment </w:t>
      </w:r>
      <w:r w:rsidR="00C11534" w:rsidRPr="0015126B">
        <w:rPr>
          <w:rFonts w:asciiTheme="minorBidi" w:hAnsiTheme="minorBidi" w:cstheme="minorBidi"/>
          <w:sz w:val="22"/>
          <w:szCs w:val="22"/>
        </w:rPr>
        <w:t>should</w:t>
      </w:r>
      <w:r w:rsidRPr="0015126B">
        <w:rPr>
          <w:rFonts w:asciiTheme="minorBidi" w:hAnsiTheme="minorBidi" w:cstheme="minorBidi"/>
          <w:sz w:val="22"/>
          <w:szCs w:val="22"/>
        </w:rPr>
        <w:t xml:space="preserve"> culminate in a clear recommendation regarding whether IRC should proceed to a next phase of licensure exploration, defer, or decline pursuit at this time.</w:t>
      </w:r>
    </w:p>
    <w:p w14:paraId="4F616F7D" w14:textId="77777777" w:rsidR="00B960E1" w:rsidRPr="0015126B" w:rsidRDefault="00B960E1" w:rsidP="00B960E1">
      <w:pPr>
        <w:tabs>
          <w:tab w:val="left" w:pos="720"/>
        </w:tabs>
        <w:spacing w:after="0" w:line="240" w:lineRule="auto"/>
        <w:ind w:left="720"/>
        <w:rPr>
          <w:rFonts w:asciiTheme="minorBidi" w:hAnsiTheme="minorBidi"/>
        </w:rPr>
      </w:pPr>
    </w:p>
    <w:p w14:paraId="47D34F29" w14:textId="2471C6D3" w:rsidR="004C7855" w:rsidRPr="0015126B" w:rsidRDefault="004C7855" w:rsidP="001C2E6C">
      <w:pPr>
        <w:pStyle w:val="ListParagraph"/>
        <w:numPr>
          <w:ilvl w:val="0"/>
          <w:numId w:val="20"/>
        </w:numPr>
        <w:spacing w:after="120"/>
        <w:ind w:left="360"/>
        <w:rPr>
          <w:rFonts w:asciiTheme="minorBidi" w:hAnsiTheme="minorBidi" w:cstheme="minorBidi"/>
          <w:b/>
          <w:bCs/>
          <w:sz w:val="22"/>
          <w:szCs w:val="22"/>
        </w:rPr>
      </w:pPr>
      <w:r w:rsidRPr="0015126B">
        <w:rPr>
          <w:rFonts w:asciiTheme="minorBidi" w:hAnsiTheme="minorBidi" w:cstheme="minorBidi"/>
          <w:b/>
          <w:bCs/>
          <w:sz w:val="22"/>
          <w:szCs w:val="22"/>
        </w:rPr>
        <w:t>Scope of Work and Tasks</w:t>
      </w:r>
    </w:p>
    <w:p w14:paraId="1090A1DA" w14:textId="5F7DA2D5" w:rsidR="004C7855" w:rsidRPr="0015126B" w:rsidRDefault="004C7855" w:rsidP="001C2E6C">
      <w:pPr>
        <w:spacing w:after="120" w:line="240" w:lineRule="auto"/>
        <w:ind w:left="360"/>
        <w:rPr>
          <w:rFonts w:asciiTheme="minorBidi" w:hAnsiTheme="minorBidi"/>
        </w:rPr>
      </w:pPr>
      <w:r w:rsidRPr="0015126B">
        <w:rPr>
          <w:rFonts w:asciiTheme="minorBidi" w:hAnsiTheme="minorBidi"/>
        </w:rPr>
        <w:t xml:space="preserve">The consultant will perform, at </w:t>
      </w:r>
      <w:proofErr w:type="gramStart"/>
      <w:r w:rsidRPr="0015126B">
        <w:rPr>
          <w:rFonts w:asciiTheme="minorBidi" w:hAnsiTheme="minorBidi"/>
        </w:rPr>
        <w:t>minimum</w:t>
      </w:r>
      <w:proofErr w:type="gramEnd"/>
      <w:r w:rsidRPr="0015126B">
        <w:rPr>
          <w:rFonts w:asciiTheme="minorBidi" w:hAnsiTheme="minorBidi"/>
        </w:rPr>
        <w:t>, the following tasks:</w:t>
      </w:r>
    </w:p>
    <w:p w14:paraId="273EF13D" w14:textId="77777777" w:rsidR="00A72221" w:rsidRPr="0015126B" w:rsidRDefault="00A72221" w:rsidP="0015126B">
      <w:pPr>
        <w:pStyle w:val="ListParagraph"/>
        <w:numPr>
          <w:ilvl w:val="0"/>
          <w:numId w:val="49"/>
        </w:numPr>
        <w:spacing w:after="120"/>
        <w:rPr>
          <w:rFonts w:asciiTheme="minorBidi" w:hAnsiTheme="minorBidi" w:cstheme="minorBidi"/>
          <w:b/>
          <w:bCs/>
          <w:sz w:val="22"/>
          <w:szCs w:val="22"/>
        </w:rPr>
      </w:pPr>
      <w:r w:rsidRPr="0015126B">
        <w:rPr>
          <w:rFonts w:asciiTheme="minorBidi" w:hAnsiTheme="minorBidi" w:cstheme="minorBidi"/>
          <w:b/>
          <w:bCs/>
          <w:sz w:val="22"/>
          <w:szCs w:val="22"/>
        </w:rPr>
        <w:t>Discovery and Organizational Context</w:t>
      </w:r>
    </w:p>
    <w:p w14:paraId="34B9768B" w14:textId="407A55F8" w:rsidR="00A72221" w:rsidRPr="0015126B" w:rsidRDefault="0015126B" w:rsidP="0015126B">
      <w:pPr>
        <w:numPr>
          <w:ilvl w:val="1"/>
          <w:numId w:val="49"/>
        </w:numPr>
        <w:spacing w:after="120" w:line="240" w:lineRule="auto"/>
        <w:rPr>
          <w:rFonts w:asciiTheme="minorBidi" w:eastAsia="Times New Roman" w:hAnsiTheme="minorBidi"/>
        </w:rPr>
      </w:pPr>
      <w:r w:rsidRPr="0015126B">
        <w:rPr>
          <w:rFonts w:asciiTheme="minorBidi" w:eastAsia="Times New Roman" w:hAnsiTheme="minorBidi"/>
        </w:rPr>
        <w:t>Review of</w:t>
      </w:r>
      <w:r w:rsidR="00A72221" w:rsidRPr="0015126B">
        <w:rPr>
          <w:rFonts w:asciiTheme="minorBidi" w:eastAsia="Times New Roman" w:hAnsiTheme="minorBidi"/>
        </w:rPr>
        <w:t xml:space="preserve"> IRC’s mission, service model, current organizational structure, and relevant internal capabilities</w:t>
      </w:r>
    </w:p>
    <w:p w14:paraId="4A0593FA" w14:textId="77777777" w:rsidR="00A72221" w:rsidRPr="0015126B" w:rsidRDefault="00A72221" w:rsidP="0015126B">
      <w:pPr>
        <w:numPr>
          <w:ilvl w:val="1"/>
          <w:numId w:val="49"/>
        </w:numPr>
        <w:spacing w:after="120" w:line="240" w:lineRule="auto"/>
        <w:rPr>
          <w:rFonts w:asciiTheme="minorBidi" w:eastAsia="Times New Roman" w:hAnsiTheme="minorBidi"/>
        </w:rPr>
      </w:pPr>
      <w:r w:rsidRPr="0015126B">
        <w:rPr>
          <w:rFonts w:asciiTheme="minorBidi" w:eastAsia="Times New Roman" w:hAnsiTheme="minorBidi"/>
        </w:rPr>
        <w:t>Conduct interviews with key stakeholders to understand strategic objectives, constraints, and risk tolerance</w:t>
      </w:r>
    </w:p>
    <w:p w14:paraId="530AC3B9" w14:textId="2CBD2CD8" w:rsidR="00A72221" w:rsidRPr="0015126B" w:rsidRDefault="00A72221" w:rsidP="0015126B">
      <w:pPr>
        <w:pStyle w:val="ListParagraph"/>
        <w:numPr>
          <w:ilvl w:val="0"/>
          <w:numId w:val="49"/>
        </w:numPr>
        <w:spacing w:after="120"/>
        <w:rPr>
          <w:rFonts w:asciiTheme="minorBidi" w:hAnsiTheme="minorBidi" w:cstheme="minorBidi"/>
          <w:b/>
          <w:bCs/>
          <w:sz w:val="22"/>
          <w:szCs w:val="22"/>
        </w:rPr>
      </w:pPr>
      <w:r w:rsidRPr="0015126B">
        <w:rPr>
          <w:rFonts w:asciiTheme="minorBidi" w:hAnsiTheme="minorBidi" w:cstheme="minorBidi"/>
          <w:b/>
          <w:bCs/>
          <w:sz w:val="22"/>
          <w:szCs w:val="22"/>
        </w:rPr>
        <w:t>Regulatory Feasibility Analysis</w:t>
      </w:r>
    </w:p>
    <w:p w14:paraId="5F036B3E" w14:textId="77777777" w:rsidR="00A72221" w:rsidRPr="0015126B" w:rsidRDefault="00A72221" w:rsidP="0015126B">
      <w:pPr>
        <w:numPr>
          <w:ilvl w:val="1"/>
          <w:numId w:val="49"/>
        </w:numPr>
        <w:spacing w:after="120" w:line="240" w:lineRule="auto"/>
        <w:rPr>
          <w:rFonts w:asciiTheme="minorBidi" w:eastAsia="Times New Roman" w:hAnsiTheme="minorBidi"/>
        </w:rPr>
      </w:pPr>
      <w:r w:rsidRPr="0015126B">
        <w:rPr>
          <w:rFonts w:asciiTheme="minorBidi" w:eastAsia="Times New Roman" w:hAnsiTheme="minorBidi"/>
        </w:rPr>
        <w:t>Summarize federal requirements applicable to licensed mental health agencies, including high</w:t>
      </w:r>
      <w:r w:rsidRPr="0015126B">
        <w:rPr>
          <w:rFonts w:asciiTheme="minorBidi" w:eastAsia="Times New Roman" w:hAnsiTheme="minorBidi"/>
        </w:rPr>
        <w:noBreakHyphen/>
        <w:t>level HIPAA considerations</w:t>
      </w:r>
    </w:p>
    <w:p w14:paraId="21361DF7" w14:textId="77777777" w:rsidR="00A72221" w:rsidRPr="0015126B" w:rsidRDefault="00A72221" w:rsidP="0015126B">
      <w:pPr>
        <w:numPr>
          <w:ilvl w:val="1"/>
          <w:numId w:val="49"/>
        </w:numPr>
        <w:spacing w:after="120" w:line="240" w:lineRule="auto"/>
        <w:rPr>
          <w:rFonts w:asciiTheme="minorBidi" w:eastAsia="Times New Roman" w:hAnsiTheme="minorBidi"/>
        </w:rPr>
      </w:pPr>
      <w:r w:rsidRPr="0015126B">
        <w:rPr>
          <w:rFonts w:asciiTheme="minorBidi" w:eastAsia="Times New Roman" w:hAnsiTheme="minorBidi"/>
        </w:rPr>
        <w:t>Conduct state</w:t>
      </w:r>
      <w:r w:rsidRPr="0015126B">
        <w:rPr>
          <w:rFonts w:asciiTheme="minorBidi" w:eastAsia="Times New Roman" w:hAnsiTheme="minorBidi"/>
        </w:rPr>
        <w:noBreakHyphen/>
        <w:t xml:space="preserve">specific regulatory feasibility analyses for Georgia, California, Idaho, and Arizona, including: </w:t>
      </w:r>
    </w:p>
    <w:p w14:paraId="34284A8C" w14:textId="77777777" w:rsidR="00A72221" w:rsidRPr="0015126B" w:rsidRDefault="00A72221" w:rsidP="0015126B">
      <w:pPr>
        <w:numPr>
          <w:ilvl w:val="2"/>
          <w:numId w:val="49"/>
        </w:numPr>
        <w:spacing w:after="120" w:line="240" w:lineRule="auto"/>
        <w:rPr>
          <w:rFonts w:asciiTheme="minorBidi" w:eastAsia="Times New Roman" w:hAnsiTheme="minorBidi"/>
        </w:rPr>
      </w:pPr>
      <w:r w:rsidRPr="0015126B">
        <w:rPr>
          <w:rFonts w:asciiTheme="minorBidi" w:eastAsia="Times New Roman" w:hAnsiTheme="minorBidi"/>
        </w:rPr>
        <w:t>Agency licensure pathways</w:t>
      </w:r>
    </w:p>
    <w:p w14:paraId="08C0B115" w14:textId="77777777" w:rsidR="00A72221" w:rsidRPr="0015126B" w:rsidRDefault="00A72221" w:rsidP="0015126B">
      <w:pPr>
        <w:numPr>
          <w:ilvl w:val="2"/>
          <w:numId w:val="49"/>
        </w:numPr>
        <w:spacing w:after="120" w:line="240" w:lineRule="auto"/>
        <w:rPr>
          <w:rFonts w:asciiTheme="minorBidi" w:eastAsia="Times New Roman" w:hAnsiTheme="minorBidi"/>
        </w:rPr>
      </w:pPr>
      <w:r w:rsidRPr="0015126B">
        <w:rPr>
          <w:rFonts w:asciiTheme="minorBidi" w:eastAsia="Times New Roman" w:hAnsiTheme="minorBidi"/>
        </w:rPr>
        <w:t>Medicaid enrollment and payer participation considerations</w:t>
      </w:r>
    </w:p>
    <w:p w14:paraId="63562C66" w14:textId="77777777" w:rsidR="00A72221" w:rsidRPr="0015126B" w:rsidRDefault="00A72221" w:rsidP="0015126B">
      <w:pPr>
        <w:numPr>
          <w:ilvl w:val="2"/>
          <w:numId w:val="49"/>
        </w:numPr>
        <w:spacing w:after="120" w:line="240" w:lineRule="auto"/>
        <w:rPr>
          <w:rFonts w:asciiTheme="minorBidi" w:eastAsia="Times New Roman" w:hAnsiTheme="minorBidi"/>
        </w:rPr>
      </w:pPr>
      <w:r w:rsidRPr="0015126B">
        <w:rPr>
          <w:rFonts w:asciiTheme="minorBidi" w:eastAsia="Times New Roman" w:hAnsiTheme="minorBidi"/>
        </w:rPr>
        <w:t>Core compliance obligations and oversight requirements</w:t>
      </w:r>
    </w:p>
    <w:p w14:paraId="7BF2209D" w14:textId="77777777" w:rsidR="00A72221" w:rsidRPr="0015126B" w:rsidRDefault="00A72221" w:rsidP="0015126B">
      <w:pPr>
        <w:numPr>
          <w:ilvl w:val="1"/>
          <w:numId w:val="49"/>
        </w:numPr>
        <w:spacing w:after="120" w:line="240" w:lineRule="auto"/>
        <w:rPr>
          <w:rFonts w:asciiTheme="minorBidi" w:eastAsia="Times New Roman" w:hAnsiTheme="minorBidi"/>
        </w:rPr>
      </w:pPr>
      <w:r w:rsidRPr="0015126B">
        <w:rPr>
          <w:rFonts w:asciiTheme="minorBidi" w:eastAsia="Times New Roman" w:hAnsiTheme="minorBidi"/>
        </w:rPr>
        <w:t>Identify major regulatory risks, dependencies, and barriers to entry</w:t>
      </w:r>
    </w:p>
    <w:p w14:paraId="12DA25E4" w14:textId="717DC666" w:rsidR="00A72221" w:rsidRPr="0015126B" w:rsidRDefault="00A72221" w:rsidP="0015126B">
      <w:pPr>
        <w:pStyle w:val="ListParagraph"/>
        <w:numPr>
          <w:ilvl w:val="0"/>
          <w:numId w:val="49"/>
        </w:numPr>
        <w:spacing w:after="120"/>
        <w:rPr>
          <w:rFonts w:asciiTheme="minorBidi" w:hAnsiTheme="minorBidi" w:cstheme="minorBidi"/>
          <w:b/>
          <w:bCs/>
          <w:sz w:val="22"/>
          <w:szCs w:val="22"/>
        </w:rPr>
      </w:pPr>
      <w:r w:rsidRPr="0015126B">
        <w:rPr>
          <w:rFonts w:asciiTheme="minorBidi" w:hAnsiTheme="minorBidi" w:cstheme="minorBidi"/>
          <w:b/>
          <w:bCs/>
          <w:sz w:val="22"/>
          <w:szCs w:val="22"/>
        </w:rPr>
        <w:t>Financial Viability Assessment</w:t>
      </w:r>
    </w:p>
    <w:p w14:paraId="55EC633C" w14:textId="77777777" w:rsidR="00A72221" w:rsidRPr="0015126B" w:rsidRDefault="00A72221" w:rsidP="0015126B">
      <w:pPr>
        <w:numPr>
          <w:ilvl w:val="1"/>
          <w:numId w:val="49"/>
        </w:numPr>
        <w:spacing w:after="120" w:line="240" w:lineRule="auto"/>
        <w:rPr>
          <w:rFonts w:asciiTheme="minorBidi" w:eastAsia="Times New Roman" w:hAnsiTheme="minorBidi"/>
        </w:rPr>
      </w:pPr>
      <w:r w:rsidRPr="0015126B">
        <w:rPr>
          <w:rFonts w:asciiTheme="minorBidi" w:eastAsia="Times New Roman" w:hAnsiTheme="minorBidi"/>
        </w:rPr>
        <w:t>Develop high</w:t>
      </w:r>
      <w:r w:rsidRPr="0015126B">
        <w:rPr>
          <w:rFonts w:asciiTheme="minorBidi" w:eastAsia="Times New Roman" w:hAnsiTheme="minorBidi"/>
        </w:rPr>
        <w:noBreakHyphen/>
        <w:t>level estimates of start</w:t>
      </w:r>
      <w:r w:rsidRPr="0015126B">
        <w:rPr>
          <w:rFonts w:asciiTheme="minorBidi" w:eastAsia="Times New Roman" w:hAnsiTheme="minorBidi"/>
        </w:rPr>
        <w:noBreakHyphen/>
        <w:t>up and ongoing costs associated with licensure and billable care (e.g., staffing, compliance, systems, oversight)</w:t>
      </w:r>
    </w:p>
    <w:p w14:paraId="68A7D29B" w14:textId="77777777" w:rsidR="00A72221" w:rsidRPr="0015126B" w:rsidRDefault="00A72221" w:rsidP="0015126B">
      <w:pPr>
        <w:numPr>
          <w:ilvl w:val="1"/>
          <w:numId w:val="49"/>
        </w:numPr>
        <w:spacing w:after="120" w:line="240" w:lineRule="auto"/>
        <w:rPr>
          <w:rFonts w:asciiTheme="minorBidi" w:eastAsia="Times New Roman" w:hAnsiTheme="minorBidi"/>
        </w:rPr>
      </w:pPr>
      <w:r w:rsidRPr="0015126B">
        <w:rPr>
          <w:rFonts w:asciiTheme="minorBidi" w:eastAsia="Times New Roman" w:hAnsiTheme="minorBidi"/>
        </w:rPr>
        <w:t>Provide indicative reimbursement ranges by payer type (e.g., Medicaid, Medicare, commercial insurance), inclusive of interpretation services where applicable</w:t>
      </w:r>
    </w:p>
    <w:p w14:paraId="09476E09" w14:textId="77777777" w:rsidR="00A72221" w:rsidRPr="0015126B" w:rsidRDefault="00A72221" w:rsidP="0015126B">
      <w:pPr>
        <w:numPr>
          <w:ilvl w:val="1"/>
          <w:numId w:val="49"/>
        </w:numPr>
        <w:spacing w:after="120" w:line="240" w:lineRule="auto"/>
        <w:rPr>
          <w:rFonts w:asciiTheme="minorBidi" w:eastAsia="Times New Roman" w:hAnsiTheme="minorBidi"/>
        </w:rPr>
      </w:pPr>
      <w:r w:rsidRPr="0015126B">
        <w:rPr>
          <w:rFonts w:asciiTheme="minorBidi" w:eastAsia="Times New Roman" w:hAnsiTheme="minorBidi"/>
        </w:rPr>
        <w:t>Assess time</w:t>
      </w:r>
      <w:r w:rsidRPr="0015126B">
        <w:rPr>
          <w:rFonts w:asciiTheme="minorBidi" w:eastAsia="Times New Roman" w:hAnsiTheme="minorBidi"/>
        </w:rPr>
        <w:noBreakHyphen/>
        <w:t>to</w:t>
      </w:r>
      <w:r w:rsidRPr="0015126B">
        <w:rPr>
          <w:rFonts w:asciiTheme="minorBidi" w:eastAsia="Times New Roman" w:hAnsiTheme="minorBidi"/>
        </w:rPr>
        <w:noBreakHyphen/>
        <w:t>first</w:t>
      </w:r>
      <w:r w:rsidRPr="0015126B">
        <w:rPr>
          <w:rFonts w:asciiTheme="minorBidi" w:eastAsia="Times New Roman" w:hAnsiTheme="minorBidi"/>
        </w:rPr>
        <w:noBreakHyphen/>
        <w:t>billable</w:t>
      </w:r>
      <w:r w:rsidRPr="0015126B">
        <w:rPr>
          <w:rFonts w:asciiTheme="minorBidi" w:eastAsia="Times New Roman" w:hAnsiTheme="minorBidi"/>
        </w:rPr>
        <w:noBreakHyphen/>
        <w:t>service considerations and breakeven dynamics</w:t>
      </w:r>
    </w:p>
    <w:p w14:paraId="14550E10" w14:textId="77777777" w:rsidR="00A72221" w:rsidRPr="0015126B" w:rsidRDefault="00A72221" w:rsidP="0015126B">
      <w:pPr>
        <w:numPr>
          <w:ilvl w:val="1"/>
          <w:numId w:val="49"/>
        </w:numPr>
        <w:spacing w:after="120" w:line="240" w:lineRule="auto"/>
        <w:rPr>
          <w:rFonts w:asciiTheme="minorBidi" w:eastAsia="Times New Roman" w:hAnsiTheme="minorBidi"/>
        </w:rPr>
      </w:pPr>
      <w:r w:rsidRPr="0015126B">
        <w:rPr>
          <w:rFonts w:asciiTheme="minorBidi" w:eastAsia="Times New Roman" w:hAnsiTheme="minorBidi"/>
        </w:rPr>
        <w:t>Identify key financial assumptions, sensitivities, and areas of uncertainty relevant to leadership decision</w:t>
      </w:r>
      <w:r w:rsidRPr="0015126B">
        <w:rPr>
          <w:rFonts w:asciiTheme="minorBidi" w:eastAsia="Times New Roman" w:hAnsiTheme="minorBidi"/>
        </w:rPr>
        <w:noBreakHyphen/>
        <w:t>making</w:t>
      </w:r>
    </w:p>
    <w:p w14:paraId="1E093788" w14:textId="39570D2D" w:rsidR="00A72221" w:rsidRPr="0015126B" w:rsidRDefault="00A72221" w:rsidP="0015126B">
      <w:pPr>
        <w:pStyle w:val="ListParagraph"/>
        <w:numPr>
          <w:ilvl w:val="0"/>
          <w:numId w:val="49"/>
        </w:numPr>
        <w:spacing w:after="120"/>
        <w:rPr>
          <w:rFonts w:asciiTheme="minorBidi" w:hAnsiTheme="minorBidi" w:cstheme="minorBidi"/>
          <w:b/>
          <w:bCs/>
          <w:sz w:val="22"/>
          <w:szCs w:val="22"/>
        </w:rPr>
      </w:pPr>
      <w:r w:rsidRPr="0015126B">
        <w:rPr>
          <w:rFonts w:asciiTheme="minorBidi" w:hAnsiTheme="minorBidi" w:cstheme="minorBidi"/>
          <w:b/>
          <w:bCs/>
          <w:sz w:val="22"/>
          <w:szCs w:val="22"/>
        </w:rPr>
        <w:t>Market and Population Considerations</w:t>
      </w:r>
    </w:p>
    <w:p w14:paraId="62A42D54" w14:textId="77777777" w:rsidR="00A72221" w:rsidRPr="0015126B" w:rsidRDefault="00A72221" w:rsidP="0015126B">
      <w:pPr>
        <w:numPr>
          <w:ilvl w:val="1"/>
          <w:numId w:val="49"/>
        </w:numPr>
        <w:spacing w:after="120" w:line="240" w:lineRule="auto"/>
        <w:rPr>
          <w:rFonts w:asciiTheme="minorBidi" w:eastAsia="Times New Roman" w:hAnsiTheme="minorBidi"/>
        </w:rPr>
      </w:pPr>
      <w:r w:rsidRPr="0015126B">
        <w:rPr>
          <w:rFonts w:asciiTheme="minorBidi" w:eastAsia="Times New Roman" w:hAnsiTheme="minorBidi"/>
        </w:rPr>
        <w:t>Assess the potential client pool given IRC’s focus on refugees and immigrants, including language access needs</w:t>
      </w:r>
    </w:p>
    <w:p w14:paraId="4F6BCFF3" w14:textId="77777777" w:rsidR="00A72221" w:rsidRPr="0015126B" w:rsidRDefault="00A72221" w:rsidP="0015126B">
      <w:pPr>
        <w:numPr>
          <w:ilvl w:val="1"/>
          <w:numId w:val="49"/>
        </w:numPr>
        <w:spacing w:after="120" w:line="240" w:lineRule="auto"/>
        <w:rPr>
          <w:rFonts w:asciiTheme="minorBidi" w:eastAsia="Times New Roman" w:hAnsiTheme="minorBidi"/>
        </w:rPr>
      </w:pPr>
      <w:r w:rsidRPr="0015126B">
        <w:rPr>
          <w:rFonts w:asciiTheme="minorBidi" w:eastAsia="Times New Roman" w:hAnsiTheme="minorBidi"/>
        </w:rPr>
        <w:t>Identify known gaps in behavioral health services for this population and relevant eligibility considerations</w:t>
      </w:r>
    </w:p>
    <w:p w14:paraId="76156E59" w14:textId="7BD9F73C" w:rsidR="00A72221" w:rsidRPr="0015126B" w:rsidRDefault="00A72221" w:rsidP="0015126B">
      <w:pPr>
        <w:pStyle w:val="ListParagraph"/>
        <w:numPr>
          <w:ilvl w:val="0"/>
          <w:numId w:val="49"/>
        </w:numPr>
        <w:spacing w:after="120"/>
        <w:rPr>
          <w:rFonts w:asciiTheme="minorBidi" w:hAnsiTheme="minorBidi" w:cstheme="minorBidi"/>
          <w:b/>
          <w:bCs/>
          <w:sz w:val="22"/>
          <w:szCs w:val="22"/>
        </w:rPr>
      </w:pPr>
      <w:r w:rsidRPr="0015126B">
        <w:rPr>
          <w:rFonts w:asciiTheme="minorBidi" w:hAnsiTheme="minorBidi" w:cstheme="minorBidi"/>
          <w:b/>
          <w:bCs/>
          <w:sz w:val="22"/>
          <w:szCs w:val="22"/>
        </w:rPr>
        <w:t>Operational Readiness and Governance Implications</w:t>
      </w:r>
    </w:p>
    <w:p w14:paraId="2F373AB4" w14:textId="77777777" w:rsidR="00A72221" w:rsidRPr="0015126B" w:rsidRDefault="00A72221" w:rsidP="0015126B">
      <w:pPr>
        <w:numPr>
          <w:ilvl w:val="1"/>
          <w:numId w:val="49"/>
        </w:numPr>
        <w:spacing w:after="120" w:line="240" w:lineRule="auto"/>
        <w:rPr>
          <w:rFonts w:asciiTheme="minorBidi" w:eastAsia="Times New Roman" w:hAnsiTheme="minorBidi"/>
        </w:rPr>
      </w:pPr>
      <w:r w:rsidRPr="0015126B">
        <w:rPr>
          <w:rFonts w:asciiTheme="minorBidi" w:eastAsia="Times New Roman" w:hAnsiTheme="minorBidi"/>
        </w:rPr>
        <w:t>Assess implications for systems (billing, compliance, data, IT), staffing models, clinical supervision, and quality assurance</w:t>
      </w:r>
    </w:p>
    <w:p w14:paraId="74D3D44B" w14:textId="77777777" w:rsidR="00A72221" w:rsidRPr="0015126B" w:rsidRDefault="00A72221" w:rsidP="0015126B">
      <w:pPr>
        <w:numPr>
          <w:ilvl w:val="1"/>
          <w:numId w:val="49"/>
        </w:numPr>
        <w:spacing w:after="120" w:line="240" w:lineRule="auto"/>
        <w:rPr>
          <w:rFonts w:asciiTheme="minorBidi" w:eastAsia="Times New Roman" w:hAnsiTheme="minorBidi"/>
        </w:rPr>
      </w:pPr>
      <w:r w:rsidRPr="0015126B">
        <w:rPr>
          <w:rFonts w:asciiTheme="minorBidi" w:eastAsia="Times New Roman" w:hAnsiTheme="minorBidi"/>
        </w:rPr>
        <w:t>Identify governance, oversight, and accountability considerations associated with clinical service delivery</w:t>
      </w:r>
    </w:p>
    <w:p w14:paraId="7D843754" w14:textId="77777777" w:rsidR="00A72221" w:rsidRPr="0015126B" w:rsidRDefault="00A72221" w:rsidP="0015126B">
      <w:pPr>
        <w:numPr>
          <w:ilvl w:val="1"/>
          <w:numId w:val="49"/>
        </w:numPr>
        <w:spacing w:after="120" w:line="240" w:lineRule="auto"/>
        <w:rPr>
          <w:rFonts w:asciiTheme="minorBidi" w:eastAsia="Times New Roman" w:hAnsiTheme="minorBidi"/>
        </w:rPr>
      </w:pPr>
      <w:r w:rsidRPr="0015126B">
        <w:rPr>
          <w:rFonts w:asciiTheme="minorBidi" w:eastAsia="Times New Roman" w:hAnsiTheme="minorBidi"/>
        </w:rPr>
        <w:t>Evaluate organizational readiness and capacity gaps</w:t>
      </w:r>
    </w:p>
    <w:p w14:paraId="544B9BE8" w14:textId="58E5BE11" w:rsidR="00A72221" w:rsidRPr="0015126B" w:rsidRDefault="00A72221" w:rsidP="0015126B">
      <w:pPr>
        <w:pStyle w:val="ListParagraph"/>
        <w:numPr>
          <w:ilvl w:val="0"/>
          <w:numId w:val="49"/>
        </w:numPr>
        <w:spacing w:after="120"/>
        <w:rPr>
          <w:rFonts w:asciiTheme="minorBidi" w:hAnsiTheme="minorBidi" w:cstheme="minorBidi"/>
          <w:b/>
          <w:bCs/>
          <w:sz w:val="22"/>
          <w:szCs w:val="22"/>
        </w:rPr>
      </w:pPr>
      <w:r w:rsidRPr="0015126B">
        <w:rPr>
          <w:rFonts w:asciiTheme="minorBidi" w:hAnsiTheme="minorBidi" w:cstheme="minorBidi"/>
          <w:b/>
          <w:bCs/>
          <w:sz w:val="22"/>
          <w:szCs w:val="22"/>
        </w:rPr>
        <w:t>Organizational Risk Assessment</w:t>
      </w:r>
    </w:p>
    <w:p w14:paraId="73A90000" w14:textId="77777777" w:rsidR="00A72221" w:rsidRPr="0015126B" w:rsidRDefault="00A72221" w:rsidP="0015126B">
      <w:pPr>
        <w:numPr>
          <w:ilvl w:val="1"/>
          <w:numId w:val="49"/>
        </w:numPr>
        <w:spacing w:after="120" w:line="240" w:lineRule="auto"/>
        <w:rPr>
          <w:rFonts w:asciiTheme="minorBidi" w:eastAsia="Times New Roman" w:hAnsiTheme="minorBidi"/>
        </w:rPr>
      </w:pPr>
      <w:r w:rsidRPr="0015126B">
        <w:rPr>
          <w:rFonts w:asciiTheme="minorBidi" w:eastAsia="Times New Roman" w:hAnsiTheme="minorBidi"/>
        </w:rPr>
        <w:lastRenderedPageBreak/>
        <w:t>Identify material organizational, clinical, compliance, financial, and reputational risks associated with becoming a billable mental health provider</w:t>
      </w:r>
    </w:p>
    <w:p w14:paraId="3571EF58" w14:textId="77777777" w:rsidR="00A72221" w:rsidRPr="0015126B" w:rsidRDefault="00A72221" w:rsidP="0015126B">
      <w:pPr>
        <w:numPr>
          <w:ilvl w:val="1"/>
          <w:numId w:val="49"/>
        </w:numPr>
        <w:spacing w:after="120" w:line="240" w:lineRule="auto"/>
        <w:rPr>
          <w:rFonts w:asciiTheme="minorBidi" w:eastAsia="Times New Roman" w:hAnsiTheme="minorBidi"/>
        </w:rPr>
      </w:pPr>
      <w:r w:rsidRPr="0015126B">
        <w:rPr>
          <w:rFonts w:asciiTheme="minorBidi" w:eastAsia="Times New Roman" w:hAnsiTheme="minorBidi"/>
        </w:rPr>
        <w:t>Highlight risk mitigation considerations and residual risk exposure</w:t>
      </w:r>
    </w:p>
    <w:p w14:paraId="6EF7D9CF" w14:textId="7992F1EE" w:rsidR="00A72221" w:rsidRPr="0015126B" w:rsidRDefault="00A72221" w:rsidP="0015126B">
      <w:pPr>
        <w:pStyle w:val="ListParagraph"/>
        <w:numPr>
          <w:ilvl w:val="0"/>
          <w:numId w:val="49"/>
        </w:numPr>
        <w:spacing w:after="120"/>
        <w:rPr>
          <w:rFonts w:asciiTheme="minorBidi" w:hAnsiTheme="minorBidi" w:cstheme="minorBidi"/>
          <w:b/>
          <w:bCs/>
          <w:sz w:val="22"/>
          <w:szCs w:val="22"/>
        </w:rPr>
      </w:pPr>
      <w:r w:rsidRPr="0015126B">
        <w:rPr>
          <w:rFonts w:asciiTheme="minorBidi" w:hAnsiTheme="minorBidi" w:cstheme="minorBidi"/>
          <w:b/>
          <w:bCs/>
          <w:sz w:val="22"/>
          <w:szCs w:val="22"/>
        </w:rPr>
        <w:t>Strategic Options Analysis</w:t>
      </w:r>
    </w:p>
    <w:p w14:paraId="356BC80C" w14:textId="77777777" w:rsidR="00A72221" w:rsidRPr="0015126B" w:rsidRDefault="00A72221" w:rsidP="0015126B">
      <w:pPr>
        <w:numPr>
          <w:ilvl w:val="1"/>
          <w:numId w:val="49"/>
        </w:numPr>
        <w:spacing w:after="120" w:line="240" w:lineRule="auto"/>
        <w:rPr>
          <w:rFonts w:asciiTheme="minorBidi" w:eastAsia="Times New Roman" w:hAnsiTheme="minorBidi"/>
        </w:rPr>
      </w:pPr>
      <w:r w:rsidRPr="0015126B">
        <w:rPr>
          <w:rFonts w:asciiTheme="minorBidi" w:eastAsia="Times New Roman" w:hAnsiTheme="minorBidi"/>
        </w:rPr>
        <w:t xml:space="preserve">Evaluate and compare potential pathways, including: </w:t>
      </w:r>
    </w:p>
    <w:p w14:paraId="02E632EE" w14:textId="77777777" w:rsidR="00A72221" w:rsidRPr="0015126B" w:rsidRDefault="00A72221" w:rsidP="0015126B">
      <w:pPr>
        <w:numPr>
          <w:ilvl w:val="2"/>
          <w:numId w:val="49"/>
        </w:numPr>
        <w:spacing w:after="120" w:line="240" w:lineRule="auto"/>
        <w:rPr>
          <w:rFonts w:asciiTheme="minorBidi" w:eastAsia="Times New Roman" w:hAnsiTheme="minorBidi"/>
        </w:rPr>
      </w:pPr>
      <w:r w:rsidRPr="0015126B">
        <w:rPr>
          <w:rFonts w:asciiTheme="minorBidi" w:eastAsia="Times New Roman" w:hAnsiTheme="minorBidi"/>
        </w:rPr>
        <w:t>Limited pilot in one or more states</w:t>
      </w:r>
    </w:p>
    <w:p w14:paraId="543C7B46" w14:textId="77777777" w:rsidR="00A72221" w:rsidRPr="0015126B" w:rsidRDefault="00A72221" w:rsidP="0015126B">
      <w:pPr>
        <w:numPr>
          <w:ilvl w:val="2"/>
          <w:numId w:val="49"/>
        </w:numPr>
        <w:spacing w:after="120" w:line="240" w:lineRule="auto"/>
        <w:rPr>
          <w:rFonts w:asciiTheme="minorBidi" w:eastAsia="Times New Roman" w:hAnsiTheme="minorBidi"/>
        </w:rPr>
      </w:pPr>
      <w:r w:rsidRPr="0015126B">
        <w:rPr>
          <w:rFonts w:asciiTheme="minorBidi" w:eastAsia="Times New Roman" w:hAnsiTheme="minorBidi"/>
        </w:rPr>
        <w:t>Multi</w:t>
      </w:r>
      <w:r w:rsidRPr="0015126B">
        <w:rPr>
          <w:rFonts w:asciiTheme="minorBidi" w:eastAsia="Times New Roman" w:hAnsiTheme="minorBidi"/>
        </w:rPr>
        <w:noBreakHyphen/>
        <w:t>state telehealth</w:t>
      </w:r>
      <w:r w:rsidRPr="0015126B">
        <w:rPr>
          <w:rFonts w:asciiTheme="minorBidi" w:eastAsia="Times New Roman" w:hAnsiTheme="minorBidi"/>
        </w:rPr>
        <w:noBreakHyphen/>
        <w:t>enabled model</w:t>
      </w:r>
    </w:p>
    <w:p w14:paraId="2F5209B8" w14:textId="77777777" w:rsidR="00A72221" w:rsidRPr="0015126B" w:rsidRDefault="00A72221" w:rsidP="0015126B">
      <w:pPr>
        <w:numPr>
          <w:ilvl w:val="2"/>
          <w:numId w:val="49"/>
        </w:numPr>
        <w:spacing w:after="120" w:line="240" w:lineRule="auto"/>
        <w:rPr>
          <w:rFonts w:asciiTheme="minorBidi" w:eastAsia="Times New Roman" w:hAnsiTheme="minorBidi"/>
        </w:rPr>
      </w:pPr>
      <w:r w:rsidRPr="0015126B">
        <w:rPr>
          <w:rFonts w:asciiTheme="minorBidi" w:eastAsia="Times New Roman" w:hAnsiTheme="minorBidi"/>
        </w:rPr>
        <w:t>Partnership or subcontracting with existing licensed providers</w:t>
      </w:r>
    </w:p>
    <w:p w14:paraId="794BA7CA" w14:textId="77777777" w:rsidR="00A72221" w:rsidRPr="0015126B" w:rsidRDefault="00A72221" w:rsidP="0015126B">
      <w:pPr>
        <w:numPr>
          <w:ilvl w:val="2"/>
          <w:numId w:val="49"/>
        </w:numPr>
        <w:spacing w:after="120" w:line="240" w:lineRule="auto"/>
        <w:rPr>
          <w:rFonts w:asciiTheme="minorBidi" w:eastAsia="Times New Roman" w:hAnsiTheme="minorBidi"/>
        </w:rPr>
      </w:pPr>
      <w:r w:rsidRPr="0015126B">
        <w:rPr>
          <w:rFonts w:asciiTheme="minorBidi" w:eastAsia="Times New Roman" w:hAnsiTheme="minorBidi"/>
        </w:rPr>
        <w:t>Standalone licensure model</w:t>
      </w:r>
    </w:p>
    <w:p w14:paraId="6670E951" w14:textId="77777777" w:rsidR="00A72221" w:rsidRPr="0015126B" w:rsidRDefault="00A72221" w:rsidP="0015126B">
      <w:pPr>
        <w:numPr>
          <w:ilvl w:val="1"/>
          <w:numId w:val="49"/>
        </w:numPr>
        <w:spacing w:after="120" w:line="240" w:lineRule="auto"/>
        <w:rPr>
          <w:rFonts w:asciiTheme="minorBidi" w:eastAsia="Times New Roman" w:hAnsiTheme="minorBidi"/>
        </w:rPr>
      </w:pPr>
      <w:r w:rsidRPr="0015126B">
        <w:rPr>
          <w:rFonts w:asciiTheme="minorBidi" w:eastAsia="Times New Roman" w:hAnsiTheme="minorBidi"/>
        </w:rPr>
        <w:t>For each option, assess relative feasibility, scalability, risk, and organizational burden</w:t>
      </w:r>
    </w:p>
    <w:p w14:paraId="14B3A8DD" w14:textId="6D771D5F" w:rsidR="00A72221" w:rsidRPr="0015126B" w:rsidRDefault="00A72221" w:rsidP="0015126B">
      <w:pPr>
        <w:pStyle w:val="ListParagraph"/>
        <w:numPr>
          <w:ilvl w:val="0"/>
          <w:numId w:val="49"/>
        </w:numPr>
        <w:spacing w:after="120"/>
        <w:rPr>
          <w:rFonts w:asciiTheme="minorBidi" w:hAnsiTheme="minorBidi" w:cstheme="minorBidi"/>
          <w:b/>
          <w:bCs/>
          <w:sz w:val="22"/>
          <w:szCs w:val="22"/>
        </w:rPr>
      </w:pPr>
      <w:r w:rsidRPr="0015126B">
        <w:rPr>
          <w:rFonts w:asciiTheme="minorBidi" w:hAnsiTheme="minorBidi" w:cstheme="minorBidi"/>
          <w:b/>
          <w:bCs/>
          <w:sz w:val="22"/>
          <w:szCs w:val="22"/>
        </w:rPr>
        <w:t>Recommendations and Decision Support</w:t>
      </w:r>
    </w:p>
    <w:p w14:paraId="4B61D0FE" w14:textId="77777777" w:rsidR="00A72221" w:rsidRPr="0015126B" w:rsidRDefault="00A72221" w:rsidP="0015126B">
      <w:pPr>
        <w:numPr>
          <w:ilvl w:val="1"/>
          <w:numId w:val="49"/>
        </w:numPr>
        <w:spacing w:after="120" w:line="240" w:lineRule="auto"/>
        <w:rPr>
          <w:rFonts w:asciiTheme="minorBidi" w:eastAsia="Times New Roman" w:hAnsiTheme="minorBidi"/>
        </w:rPr>
      </w:pPr>
      <w:r w:rsidRPr="0015126B">
        <w:rPr>
          <w:rFonts w:asciiTheme="minorBidi" w:eastAsia="Times New Roman" w:hAnsiTheme="minorBidi"/>
        </w:rPr>
        <w:t>Synthesize findings into a clear, evidence</w:t>
      </w:r>
      <w:r w:rsidRPr="0015126B">
        <w:rPr>
          <w:rFonts w:asciiTheme="minorBidi" w:eastAsia="Times New Roman" w:hAnsiTheme="minorBidi"/>
        </w:rPr>
        <w:noBreakHyphen/>
        <w:t>based recommendation regarding whether IRC should proceed with further exploration of licensure</w:t>
      </w:r>
    </w:p>
    <w:p w14:paraId="029B8EA6" w14:textId="77777777" w:rsidR="00A72221" w:rsidRPr="0015126B" w:rsidRDefault="00A72221" w:rsidP="0015126B">
      <w:pPr>
        <w:numPr>
          <w:ilvl w:val="1"/>
          <w:numId w:val="49"/>
        </w:numPr>
        <w:spacing w:after="120" w:line="240" w:lineRule="auto"/>
        <w:rPr>
          <w:rFonts w:asciiTheme="minorBidi" w:eastAsia="Times New Roman" w:hAnsiTheme="minorBidi"/>
        </w:rPr>
      </w:pPr>
      <w:r w:rsidRPr="0015126B">
        <w:rPr>
          <w:rFonts w:asciiTheme="minorBidi" w:eastAsia="Times New Roman" w:hAnsiTheme="minorBidi"/>
        </w:rPr>
        <w:t xml:space="preserve">Clearly articulate conditions under which </w:t>
      </w:r>
      <w:proofErr w:type="gramStart"/>
      <w:r w:rsidRPr="0015126B">
        <w:rPr>
          <w:rFonts w:asciiTheme="minorBidi" w:eastAsia="Times New Roman" w:hAnsiTheme="minorBidi"/>
        </w:rPr>
        <w:t>proceeding</w:t>
      </w:r>
      <w:proofErr w:type="gramEnd"/>
      <w:r w:rsidRPr="0015126B">
        <w:rPr>
          <w:rFonts w:asciiTheme="minorBidi" w:eastAsia="Times New Roman" w:hAnsiTheme="minorBidi"/>
        </w:rPr>
        <w:t xml:space="preserve"> may or may not be advisable</w:t>
      </w:r>
    </w:p>
    <w:p w14:paraId="0A483E66" w14:textId="4ACBF8B4" w:rsidR="008A34FD" w:rsidRPr="0015126B" w:rsidRDefault="008A34FD" w:rsidP="001C2E6C">
      <w:pPr>
        <w:pStyle w:val="ListParagraph"/>
        <w:numPr>
          <w:ilvl w:val="0"/>
          <w:numId w:val="20"/>
        </w:numPr>
        <w:tabs>
          <w:tab w:val="left" w:pos="360"/>
        </w:tabs>
        <w:spacing w:after="120"/>
        <w:ind w:left="360"/>
        <w:rPr>
          <w:rFonts w:asciiTheme="minorBidi" w:hAnsiTheme="minorBidi" w:cstheme="minorBidi"/>
          <w:b/>
          <w:bCs/>
          <w:sz w:val="22"/>
          <w:szCs w:val="22"/>
        </w:rPr>
      </w:pPr>
      <w:r w:rsidRPr="0015126B">
        <w:rPr>
          <w:rFonts w:asciiTheme="minorBidi" w:hAnsiTheme="minorBidi" w:cstheme="minorBidi"/>
          <w:b/>
          <w:bCs/>
          <w:sz w:val="22"/>
          <w:szCs w:val="22"/>
        </w:rPr>
        <w:t>Deliverables</w:t>
      </w:r>
    </w:p>
    <w:p w14:paraId="4DBE5BDB" w14:textId="600D16A3" w:rsidR="00D54BFC" w:rsidRPr="0015126B" w:rsidRDefault="00D54BFC" w:rsidP="0015126B">
      <w:pPr>
        <w:pStyle w:val="NormalWeb"/>
        <w:numPr>
          <w:ilvl w:val="0"/>
          <w:numId w:val="50"/>
        </w:numPr>
        <w:spacing w:line="300" w:lineRule="atLeast"/>
        <w:rPr>
          <w:rFonts w:asciiTheme="minorBidi" w:hAnsiTheme="minorBidi" w:cstheme="minorBidi"/>
          <w:sz w:val="22"/>
          <w:szCs w:val="22"/>
        </w:rPr>
      </w:pPr>
      <w:r w:rsidRPr="0015126B">
        <w:rPr>
          <w:rStyle w:val="Strong"/>
          <w:rFonts w:asciiTheme="minorBidi" w:hAnsiTheme="minorBidi" w:cstheme="minorBidi"/>
          <w:sz w:val="22"/>
          <w:szCs w:val="22"/>
        </w:rPr>
        <w:t>Comprehensive Feasibility Report</w:t>
      </w:r>
      <w:r w:rsidR="00CF6C01" w:rsidRPr="0015126B">
        <w:rPr>
          <w:rStyle w:val="Strong"/>
          <w:rFonts w:asciiTheme="minorBidi" w:hAnsiTheme="minorBidi" w:cstheme="minorBidi"/>
          <w:sz w:val="22"/>
          <w:szCs w:val="22"/>
        </w:rPr>
        <w:t xml:space="preserve"> - </w:t>
      </w:r>
      <w:r w:rsidRPr="0015126B">
        <w:rPr>
          <w:rFonts w:asciiTheme="minorBidi" w:hAnsiTheme="minorBidi" w:cstheme="minorBidi"/>
          <w:sz w:val="22"/>
          <w:szCs w:val="22"/>
        </w:rPr>
        <w:t xml:space="preserve">A written report addressing all </w:t>
      </w:r>
      <w:proofErr w:type="gramStart"/>
      <w:r w:rsidRPr="0015126B">
        <w:rPr>
          <w:rFonts w:asciiTheme="minorBidi" w:hAnsiTheme="minorBidi" w:cstheme="minorBidi"/>
          <w:sz w:val="22"/>
          <w:szCs w:val="22"/>
        </w:rPr>
        <w:t>scope areas</w:t>
      </w:r>
      <w:proofErr w:type="gramEnd"/>
      <w:r w:rsidRPr="0015126B">
        <w:rPr>
          <w:rFonts w:asciiTheme="minorBidi" w:hAnsiTheme="minorBidi" w:cstheme="minorBidi"/>
          <w:sz w:val="22"/>
          <w:szCs w:val="22"/>
        </w:rPr>
        <w:t>, including supporting analysis, assumptions, and findings.</w:t>
      </w:r>
    </w:p>
    <w:p w14:paraId="1AD6AE09" w14:textId="432E041C" w:rsidR="00D54BFC" w:rsidRPr="0015126B" w:rsidRDefault="00D54BFC" w:rsidP="0015126B">
      <w:pPr>
        <w:pStyle w:val="NormalWeb"/>
        <w:numPr>
          <w:ilvl w:val="0"/>
          <w:numId w:val="50"/>
        </w:numPr>
        <w:spacing w:line="300" w:lineRule="atLeast"/>
        <w:rPr>
          <w:rFonts w:asciiTheme="minorBidi" w:hAnsiTheme="minorBidi" w:cstheme="minorBidi"/>
          <w:sz w:val="22"/>
          <w:szCs w:val="22"/>
        </w:rPr>
      </w:pPr>
      <w:r w:rsidRPr="0015126B">
        <w:rPr>
          <w:rStyle w:val="Strong"/>
          <w:rFonts w:asciiTheme="minorBidi" w:hAnsiTheme="minorBidi" w:cstheme="minorBidi"/>
          <w:sz w:val="22"/>
          <w:szCs w:val="22"/>
        </w:rPr>
        <w:t>Executive Summary</w:t>
      </w:r>
      <w:r w:rsidR="00CF6C01" w:rsidRPr="0015126B">
        <w:rPr>
          <w:rStyle w:val="Strong"/>
          <w:rFonts w:asciiTheme="minorBidi" w:hAnsiTheme="minorBidi" w:cstheme="minorBidi"/>
          <w:sz w:val="22"/>
          <w:szCs w:val="22"/>
        </w:rPr>
        <w:t xml:space="preserve"> - </w:t>
      </w:r>
      <w:r w:rsidRPr="0015126B">
        <w:rPr>
          <w:rFonts w:asciiTheme="minorBidi" w:hAnsiTheme="minorBidi" w:cstheme="minorBidi"/>
          <w:sz w:val="22"/>
          <w:szCs w:val="22"/>
        </w:rPr>
        <w:t>A concise, leadership</w:t>
      </w:r>
      <w:r w:rsidRPr="0015126B">
        <w:rPr>
          <w:rFonts w:asciiTheme="minorBidi" w:hAnsiTheme="minorBidi" w:cstheme="minorBidi"/>
          <w:sz w:val="22"/>
          <w:szCs w:val="22"/>
        </w:rPr>
        <w:noBreakHyphen/>
        <w:t>level summary suitable for executive and board review.</w:t>
      </w:r>
    </w:p>
    <w:p w14:paraId="38DF6211" w14:textId="6C00C795" w:rsidR="00D54BFC" w:rsidRPr="0015126B" w:rsidRDefault="00D54BFC" w:rsidP="0015126B">
      <w:pPr>
        <w:pStyle w:val="NormalWeb"/>
        <w:numPr>
          <w:ilvl w:val="0"/>
          <w:numId w:val="50"/>
        </w:numPr>
        <w:spacing w:line="300" w:lineRule="atLeast"/>
        <w:rPr>
          <w:rFonts w:asciiTheme="minorBidi" w:hAnsiTheme="minorBidi" w:cstheme="minorBidi"/>
          <w:sz w:val="22"/>
          <w:szCs w:val="22"/>
        </w:rPr>
      </w:pPr>
      <w:r w:rsidRPr="0015126B">
        <w:rPr>
          <w:rStyle w:val="Strong"/>
          <w:rFonts w:asciiTheme="minorBidi" w:hAnsiTheme="minorBidi" w:cstheme="minorBidi"/>
          <w:sz w:val="22"/>
          <w:szCs w:val="22"/>
        </w:rPr>
        <w:t>Go / No</w:t>
      </w:r>
      <w:r w:rsidRPr="0015126B">
        <w:rPr>
          <w:rStyle w:val="Strong"/>
          <w:rFonts w:asciiTheme="minorBidi" w:hAnsiTheme="minorBidi" w:cstheme="minorBidi"/>
          <w:sz w:val="22"/>
          <w:szCs w:val="22"/>
        </w:rPr>
        <w:noBreakHyphen/>
        <w:t>Go Recommendation Memo</w:t>
      </w:r>
      <w:r w:rsidR="00CF6C01" w:rsidRPr="0015126B">
        <w:rPr>
          <w:rStyle w:val="Strong"/>
          <w:rFonts w:asciiTheme="minorBidi" w:hAnsiTheme="minorBidi" w:cstheme="minorBidi"/>
          <w:sz w:val="22"/>
          <w:szCs w:val="22"/>
        </w:rPr>
        <w:t xml:space="preserve"> - </w:t>
      </w:r>
      <w:r w:rsidRPr="0015126B">
        <w:rPr>
          <w:rFonts w:asciiTheme="minorBidi" w:hAnsiTheme="minorBidi" w:cstheme="minorBidi"/>
          <w:sz w:val="22"/>
          <w:szCs w:val="22"/>
        </w:rPr>
        <w:t>A focused, decision</w:t>
      </w:r>
      <w:r w:rsidRPr="0015126B">
        <w:rPr>
          <w:rFonts w:asciiTheme="minorBidi" w:hAnsiTheme="minorBidi" w:cstheme="minorBidi"/>
          <w:sz w:val="22"/>
          <w:szCs w:val="22"/>
        </w:rPr>
        <w:noBreakHyphen/>
        <w:t>oriented memo outlining the recommended path forward, with clear rationale across regulatory, financial, operational, and risk dimensions.</w:t>
      </w:r>
    </w:p>
    <w:p w14:paraId="283E2FF9" w14:textId="77777777" w:rsidR="00C3399C" w:rsidRPr="0015126B" w:rsidRDefault="00C3399C" w:rsidP="0015126B">
      <w:pPr>
        <w:spacing w:after="120"/>
        <w:rPr>
          <w:rFonts w:asciiTheme="minorBidi" w:hAnsiTheme="minorBidi"/>
          <w:b/>
          <w:bCs/>
        </w:rPr>
      </w:pPr>
    </w:p>
    <w:p w14:paraId="1B1DB58A" w14:textId="3EED14A7" w:rsidR="00C3399C" w:rsidRPr="0015126B" w:rsidRDefault="00C3399C" w:rsidP="001C2E6C">
      <w:pPr>
        <w:pStyle w:val="ListParagraph"/>
        <w:numPr>
          <w:ilvl w:val="0"/>
          <w:numId w:val="20"/>
        </w:numPr>
        <w:spacing w:after="120"/>
        <w:ind w:left="360"/>
        <w:rPr>
          <w:rFonts w:asciiTheme="minorBidi" w:hAnsiTheme="minorBidi" w:cstheme="minorBidi"/>
          <w:b/>
          <w:bCs/>
          <w:sz w:val="22"/>
          <w:szCs w:val="22"/>
        </w:rPr>
      </w:pPr>
      <w:r w:rsidRPr="0015126B">
        <w:rPr>
          <w:rFonts w:asciiTheme="minorBidi" w:hAnsiTheme="minorBidi" w:cstheme="minorBidi"/>
          <w:b/>
          <w:bCs/>
          <w:sz w:val="22"/>
          <w:szCs w:val="22"/>
        </w:rPr>
        <w:t>Consultant Qualifications</w:t>
      </w:r>
    </w:p>
    <w:p w14:paraId="5DCA35CA" w14:textId="77777777" w:rsidR="00C3399C" w:rsidRPr="0015126B" w:rsidRDefault="00C3399C" w:rsidP="001C2E6C">
      <w:pPr>
        <w:spacing w:after="120" w:line="240" w:lineRule="auto"/>
        <w:ind w:left="360"/>
        <w:rPr>
          <w:rFonts w:asciiTheme="minorBidi" w:hAnsiTheme="minorBidi"/>
        </w:rPr>
      </w:pPr>
      <w:r w:rsidRPr="0015126B">
        <w:rPr>
          <w:rFonts w:asciiTheme="minorBidi" w:hAnsiTheme="minorBidi"/>
        </w:rPr>
        <w:t>Proposers should demonstrate:</w:t>
      </w:r>
    </w:p>
    <w:p w14:paraId="317E6B3D" w14:textId="77777777" w:rsidR="00C3399C" w:rsidRPr="0015126B" w:rsidRDefault="00C3399C" w:rsidP="001C2E6C">
      <w:pPr>
        <w:numPr>
          <w:ilvl w:val="0"/>
          <w:numId w:val="23"/>
        </w:numPr>
        <w:spacing w:after="120" w:line="240" w:lineRule="auto"/>
        <w:rPr>
          <w:rFonts w:asciiTheme="minorBidi" w:hAnsiTheme="minorBidi"/>
        </w:rPr>
      </w:pPr>
      <w:r w:rsidRPr="0015126B">
        <w:rPr>
          <w:rFonts w:asciiTheme="minorBidi" w:hAnsiTheme="minorBidi"/>
        </w:rPr>
        <w:t>Expertise in healthcare management, behavioral health operations, or health policy.</w:t>
      </w:r>
    </w:p>
    <w:p w14:paraId="59E4C95E" w14:textId="77777777" w:rsidR="00C3399C" w:rsidRPr="0015126B" w:rsidRDefault="00C3399C" w:rsidP="001C2E6C">
      <w:pPr>
        <w:numPr>
          <w:ilvl w:val="0"/>
          <w:numId w:val="23"/>
        </w:numPr>
        <w:spacing w:after="120" w:line="240" w:lineRule="auto"/>
        <w:rPr>
          <w:rFonts w:asciiTheme="minorBidi" w:hAnsiTheme="minorBidi"/>
        </w:rPr>
      </w:pPr>
      <w:r w:rsidRPr="0015126B">
        <w:rPr>
          <w:rFonts w:asciiTheme="minorBidi" w:hAnsiTheme="minorBidi"/>
        </w:rPr>
        <w:t>Experience with Medicaid/Medicare and commercial payer reimbursement processes.</w:t>
      </w:r>
    </w:p>
    <w:p w14:paraId="390DFC8E" w14:textId="77777777" w:rsidR="00C3399C" w:rsidRPr="0015126B" w:rsidRDefault="00C3399C" w:rsidP="001C2E6C">
      <w:pPr>
        <w:numPr>
          <w:ilvl w:val="0"/>
          <w:numId w:val="23"/>
        </w:numPr>
        <w:spacing w:after="120" w:line="240" w:lineRule="auto"/>
        <w:rPr>
          <w:rFonts w:asciiTheme="minorBidi" w:hAnsiTheme="minorBidi"/>
        </w:rPr>
      </w:pPr>
      <w:r w:rsidRPr="0015126B">
        <w:rPr>
          <w:rFonts w:asciiTheme="minorBidi" w:hAnsiTheme="minorBidi"/>
        </w:rPr>
        <w:t>Knowledge of state and federal mental health licensing and telehealth regulations.</w:t>
      </w:r>
    </w:p>
    <w:p w14:paraId="689EB285" w14:textId="77777777" w:rsidR="00C3399C" w:rsidRPr="0015126B" w:rsidRDefault="00C3399C" w:rsidP="001C2E6C">
      <w:pPr>
        <w:numPr>
          <w:ilvl w:val="0"/>
          <w:numId w:val="23"/>
        </w:numPr>
        <w:spacing w:after="120" w:line="240" w:lineRule="auto"/>
        <w:rPr>
          <w:rFonts w:asciiTheme="minorBidi" w:hAnsiTheme="minorBidi"/>
        </w:rPr>
      </w:pPr>
      <w:r w:rsidRPr="0015126B">
        <w:rPr>
          <w:rFonts w:asciiTheme="minorBidi" w:hAnsiTheme="minorBidi"/>
        </w:rPr>
        <w:t>Strong analytical, financial modeling, and communication skills.</w:t>
      </w:r>
    </w:p>
    <w:p w14:paraId="59698347" w14:textId="77777777" w:rsidR="001E4E82" w:rsidRPr="0015126B" w:rsidRDefault="001E4E82" w:rsidP="001C2E6C">
      <w:pPr>
        <w:spacing w:after="120" w:line="240" w:lineRule="auto"/>
        <w:rPr>
          <w:rFonts w:asciiTheme="minorBidi" w:hAnsiTheme="minorBidi"/>
          <w:b/>
          <w:bCs/>
        </w:rPr>
      </w:pPr>
    </w:p>
    <w:p w14:paraId="707B5105" w14:textId="46B81DC4" w:rsidR="00C3399C" w:rsidRPr="0015126B" w:rsidRDefault="00C3399C" w:rsidP="001C2E6C">
      <w:pPr>
        <w:pStyle w:val="ListParagraph"/>
        <w:numPr>
          <w:ilvl w:val="0"/>
          <w:numId w:val="20"/>
        </w:numPr>
        <w:spacing w:after="120"/>
        <w:ind w:left="360"/>
        <w:rPr>
          <w:rFonts w:asciiTheme="minorBidi" w:hAnsiTheme="minorBidi" w:cstheme="minorBidi"/>
          <w:b/>
          <w:bCs/>
          <w:sz w:val="22"/>
          <w:szCs w:val="22"/>
        </w:rPr>
      </w:pPr>
      <w:r w:rsidRPr="0015126B">
        <w:rPr>
          <w:rFonts w:asciiTheme="minorBidi" w:hAnsiTheme="minorBidi" w:cstheme="minorBidi"/>
          <w:b/>
          <w:bCs/>
          <w:sz w:val="22"/>
          <w:szCs w:val="22"/>
        </w:rPr>
        <w:t>Proposal Requirements</w:t>
      </w:r>
    </w:p>
    <w:p w14:paraId="45E01484" w14:textId="77777777" w:rsidR="00C3399C" w:rsidRPr="0015126B" w:rsidRDefault="00C3399C" w:rsidP="001C2E6C">
      <w:pPr>
        <w:spacing w:after="120" w:line="240" w:lineRule="auto"/>
        <w:ind w:left="360"/>
        <w:rPr>
          <w:rFonts w:asciiTheme="minorBidi" w:hAnsiTheme="minorBidi"/>
        </w:rPr>
      </w:pPr>
      <w:r w:rsidRPr="0015126B">
        <w:rPr>
          <w:rFonts w:asciiTheme="minorBidi" w:hAnsiTheme="minorBidi"/>
        </w:rPr>
        <w:t>Proposals should include:</w:t>
      </w:r>
    </w:p>
    <w:p w14:paraId="407FF4C7" w14:textId="385006E3" w:rsidR="00C3399C" w:rsidRPr="0015126B" w:rsidRDefault="72F2E964" w:rsidP="001C2E6C">
      <w:pPr>
        <w:numPr>
          <w:ilvl w:val="0"/>
          <w:numId w:val="24"/>
        </w:numPr>
        <w:spacing w:after="120" w:line="240" w:lineRule="auto"/>
        <w:rPr>
          <w:rFonts w:asciiTheme="minorBidi" w:hAnsiTheme="minorBidi"/>
        </w:rPr>
      </w:pPr>
      <w:r w:rsidRPr="0015126B">
        <w:rPr>
          <w:rFonts w:asciiTheme="minorBidi" w:hAnsiTheme="minorBidi"/>
        </w:rPr>
        <w:t xml:space="preserve">Overview of </w:t>
      </w:r>
      <w:r w:rsidR="00452493" w:rsidRPr="0015126B">
        <w:rPr>
          <w:rFonts w:asciiTheme="minorBidi" w:hAnsiTheme="minorBidi"/>
        </w:rPr>
        <w:t xml:space="preserve">consultant/consultant agency </w:t>
      </w:r>
      <w:r w:rsidRPr="0015126B">
        <w:rPr>
          <w:rFonts w:asciiTheme="minorBidi" w:hAnsiTheme="minorBidi"/>
        </w:rPr>
        <w:t>and relevant experience</w:t>
      </w:r>
    </w:p>
    <w:p w14:paraId="07DE548E" w14:textId="77777777" w:rsidR="00C3399C" w:rsidRPr="0015126B" w:rsidRDefault="00C3399C" w:rsidP="001C2E6C">
      <w:pPr>
        <w:numPr>
          <w:ilvl w:val="0"/>
          <w:numId w:val="24"/>
        </w:numPr>
        <w:spacing w:after="120" w:line="240" w:lineRule="auto"/>
        <w:rPr>
          <w:rFonts w:asciiTheme="minorBidi" w:hAnsiTheme="minorBidi"/>
        </w:rPr>
      </w:pPr>
      <w:r w:rsidRPr="0015126B">
        <w:rPr>
          <w:rFonts w:asciiTheme="minorBidi" w:hAnsiTheme="minorBidi"/>
        </w:rPr>
        <w:t>Proposed approach and methodology</w:t>
      </w:r>
    </w:p>
    <w:p w14:paraId="775E9264" w14:textId="77777777" w:rsidR="00C3399C" w:rsidRPr="0015126B" w:rsidRDefault="00C3399C" w:rsidP="001C2E6C">
      <w:pPr>
        <w:numPr>
          <w:ilvl w:val="0"/>
          <w:numId w:val="24"/>
        </w:numPr>
        <w:spacing w:after="120" w:line="240" w:lineRule="auto"/>
        <w:rPr>
          <w:rFonts w:asciiTheme="minorBidi" w:hAnsiTheme="minorBidi"/>
        </w:rPr>
      </w:pPr>
      <w:r w:rsidRPr="0015126B">
        <w:rPr>
          <w:rFonts w:asciiTheme="minorBidi" w:hAnsiTheme="minorBidi"/>
        </w:rPr>
        <w:lastRenderedPageBreak/>
        <w:t>Detailed project timeline</w:t>
      </w:r>
    </w:p>
    <w:p w14:paraId="0222F91F" w14:textId="77777777" w:rsidR="00C3399C" w:rsidRPr="0015126B" w:rsidRDefault="00C3399C" w:rsidP="001C2E6C">
      <w:pPr>
        <w:numPr>
          <w:ilvl w:val="0"/>
          <w:numId w:val="24"/>
        </w:numPr>
        <w:spacing w:after="120" w:line="240" w:lineRule="auto"/>
        <w:rPr>
          <w:rFonts w:asciiTheme="minorBidi" w:hAnsiTheme="minorBidi"/>
        </w:rPr>
      </w:pPr>
      <w:r w:rsidRPr="0015126B">
        <w:rPr>
          <w:rFonts w:asciiTheme="minorBidi" w:hAnsiTheme="minorBidi"/>
        </w:rPr>
        <w:t>Budget and fee structure</w:t>
      </w:r>
    </w:p>
    <w:p w14:paraId="12BBD83B" w14:textId="77777777" w:rsidR="00C3399C" w:rsidRPr="0015126B" w:rsidRDefault="00C3399C" w:rsidP="001C2E6C">
      <w:pPr>
        <w:numPr>
          <w:ilvl w:val="0"/>
          <w:numId w:val="24"/>
        </w:numPr>
        <w:spacing w:after="120" w:line="240" w:lineRule="auto"/>
        <w:rPr>
          <w:rFonts w:asciiTheme="minorBidi" w:hAnsiTheme="minorBidi"/>
        </w:rPr>
      </w:pPr>
      <w:r w:rsidRPr="0015126B">
        <w:rPr>
          <w:rFonts w:asciiTheme="minorBidi" w:hAnsiTheme="minorBidi"/>
        </w:rPr>
        <w:t>References from similar projects</w:t>
      </w:r>
    </w:p>
    <w:p w14:paraId="027EA48D" w14:textId="77777777" w:rsidR="001E4E82" w:rsidRPr="0015126B" w:rsidRDefault="001E4E82" w:rsidP="001C2E6C">
      <w:pPr>
        <w:spacing w:after="120" w:line="240" w:lineRule="auto"/>
        <w:ind w:left="360"/>
        <w:rPr>
          <w:rFonts w:asciiTheme="minorBidi" w:hAnsiTheme="minorBidi"/>
        </w:rPr>
      </w:pPr>
    </w:p>
    <w:p w14:paraId="31B29EF7" w14:textId="4FA81043" w:rsidR="00C3399C" w:rsidRPr="0015126B" w:rsidRDefault="00C3399C" w:rsidP="001C2E6C">
      <w:pPr>
        <w:pStyle w:val="ListParagraph"/>
        <w:numPr>
          <w:ilvl w:val="0"/>
          <w:numId w:val="20"/>
        </w:numPr>
        <w:spacing w:after="120"/>
        <w:ind w:left="360"/>
        <w:rPr>
          <w:rFonts w:asciiTheme="minorBidi" w:hAnsiTheme="minorBidi" w:cstheme="minorBidi"/>
          <w:b/>
          <w:bCs/>
          <w:sz w:val="22"/>
          <w:szCs w:val="22"/>
        </w:rPr>
      </w:pPr>
      <w:r w:rsidRPr="0015126B">
        <w:rPr>
          <w:rFonts w:asciiTheme="minorBidi" w:hAnsiTheme="minorBidi" w:cstheme="minorBidi"/>
          <w:b/>
          <w:bCs/>
          <w:sz w:val="22"/>
          <w:szCs w:val="22"/>
        </w:rPr>
        <w:t>Evaluation Criteria</w:t>
      </w:r>
    </w:p>
    <w:p w14:paraId="2C893CFA" w14:textId="77777777" w:rsidR="00C3399C" w:rsidRPr="0015126B" w:rsidRDefault="00C3399C" w:rsidP="001C2E6C">
      <w:pPr>
        <w:spacing w:after="120" w:line="240" w:lineRule="auto"/>
        <w:ind w:left="360"/>
        <w:rPr>
          <w:rFonts w:asciiTheme="minorBidi" w:hAnsiTheme="minorBidi"/>
        </w:rPr>
      </w:pPr>
      <w:r w:rsidRPr="0015126B">
        <w:rPr>
          <w:rFonts w:asciiTheme="minorBidi" w:hAnsiTheme="minorBidi"/>
        </w:rPr>
        <w:t>Proposals will be evaluated based on the following weighted criteria:</w:t>
      </w:r>
    </w:p>
    <w:p w14:paraId="27F51518" w14:textId="38FF901B" w:rsidR="00C3399C" w:rsidRPr="0015126B" w:rsidRDefault="00C3399C" w:rsidP="001C2E6C">
      <w:pPr>
        <w:numPr>
          <w:ilvl w:val="0"/>
          <w:numId w:val="25"/>
        </w:numPr>
        <w:spacing w:after="120" w:line="240" w:lineRule="auto"/>
        <w:rPr>
          <w:rFonts w:asciiTheme="minorBidi" w:hAnsiTheme="minorBidi"/>
        </w:rPr>
      </w:pPr>
      <w:r w:rsidRPr="0015126B">
        <w:rPr>
          <w:rFonts w:asciiTheme="minorBidi" w:hAnsiTheme="minorBidi"/>
          <w:b/>
          <w:bCs/>
        </w:rPr>
        <w:t>Relevant Experience and Qualifications</w:t>
      </w:r>
      <w:r w:rsidRPr="0015126B">
        <w:rPr>
          <w:rFonts w:asciiTheme="minorBidi" w:hAnsiTheme="minorBidi"/>
        </w:rPr>
        <w:t xml:space="preserve"> – </w:t>
      </w:r>
      <w:r w:rsidR="00394946" w:rsidRPr="0015126B">
        <w:rPr>
          <w:rFonts w:asciiTheme="minorBidi" w:hAnsiTheme="minorBidi"/>
        </w:rPr>
        <w:t>25</w:t>
      </w:r>
      <w:r w:rsidRPr="0015126B">
        <w:rPr>
          <w:rFonts w:asciiTheme="minorBidi" w:hAnsiTheme="minorBidi"/>
        </w:rPr>
        <w:t>%</w:t>
      </w:r>
    </w:p>
    <w:p w14:paraId="0036FE22" w14:textId="4321AA6E" w:rsidR="00C3399C" w:rsidRPr="0015126B" w:rsidRDefault="00C3399C" w:rsidP="001C2E6C">
      <w:pPr>
        <w:numPr>
          <w:ilvl w:val="0"/>
          <w:numId w:val="25"/>
        </w:numPr>
        <w:spacing w:after="120" w:line="240" w:lineRule="auto"/>
        <w:rPr>
          <w:rFonts w:asciiTheme="minorBidi" w:hAnsiTheme="minorBidi"/>
        </w:rPr>
      </w:pPr>
      <w:r w:rsidRPr="0015126B">
        <w:rPr>
          <w:rFonts w:asciiTheme="minorBidi" w:hAnsiTheme="minorBidi"/>
          <w:b/>
          <w:bCs/>
        </w:rPr>
        <w:t>Proposed Methodology and Work Plan</w:t>
      </w:r>
      <w:r w:rsidRPr="0015126B">
        <w:rPr>
          <w:rFonts w:asciiTheme="minorBidi" w:hAnsiTheme="minorBidi"/>
        </w:rPr>
        <w:t xml:space="preserve"> – </w:t>
      </w:r>
      <w:r w:rsidR="001E4E82" w:rsidRPr="0015126B">
        <w:rPr>
          <w:rFonts w:asciiTheme="minorBidi" w:hAnsiTheme="minorBidi"/>
        </w:rPr>
        <w:t>5</w:t>
      </w:r>
      <w:r w:rsidR="00394946" w:rsidRPr="0015126B">
        <w:rPr>
          <w:rFonts w:asciiTheme="minorBidi" w:hAnsiTheme="minorBidi"/>
        </w:rPr>
        <w:t>0</w:t>
      </w:r>
      <w:r w:rsidRPr="0015126B">
        <w:rPr>
          <w:rFonts w:asciiTheme="minorBidi" w:hAnsiTheme="minorBidi"/>
        </w:rPr>
        <w:t>%</w:t>
      </w:r>
    </w:p>
    <w:p w14:paraId="58C00B9B" w14:textId="73AD770C" w:rsidR="00C3399C" w:rsidRPr="0015126B" w:rsidRDefault="00C3399C" w:rsidP="001C2E6C">
      <w:pPr>
        <w:numPr>
          <w:ilvl w:val="0"/>
          <w:numId w:val="25"/>
        </w:numPr>
        <w:spacing w:after="120" w:line="240" w:lineRule="auto"/>
        <w:rPr>
          <w:rFonts w:asciiTheme="minorBidi" w:hAnsiTheme="minorBidi"/>
        </w:rPr>
      </w:pPr>
      <w:r w:rsidRPr="0015126B">
        <w:rPr>
          <w:rFonts w:asciiTheme="minorBidi" w:hAnsiTheme="minorBidi"/>
          <w:b/>
          <w:bCs/>
        </w:rPr>
        <w:t>Cost Proposal</w:t>
      </w:r>
      <w:r w:rsidRPr="0015126B">
        <w:rPr>
          <w:rFonts w:asciiTheme="minorBidi" w:hAnsiTheme="minorBidi"/>
        </w:rPr>
        <w:t xml:space="preserve"> – </w:t>
      </w:r>
      <w:r w:rsidR="00394946" w:rsidRPr="0015126B">
        <w:rPr>
          <w:rFonts w:asciiTheme="minorBidi" w:hAnsiTheme="minorBidi"/>
        </w:rPr>
        <w:t>25</w:t>
      </w:r>
      <w:r w:rsidRPr="0015126B">
        <w:rPr>
          <w:rFonts w:asciiTheme="minorBidi" w:hAnsiTheme="minorBidi"/>
        </w:rPr>
        <w:t>%</w:t>
      </w:r>
    </w:p>
    <w:p w14:paraId="594C11E4" w14:textId="77777777" w:rsidR="00C3399C" w:rsidRPr="0015126B" w:rsidRDefault="00C3399C" w:rsidP="00394946">
      <w:pPr>
        <w:spacing w:after="0" w:line="240" w:lineRule="auto"/>
        <w:ind w:left="360"/>
        <w:rPr>
          <w:rFonts w:asciiTheme="minorBidi" w:hAnsiTheme="minorBidi"/>
        </w:rPr>
      </w:pPr>
    </w:p>
    <w:p w14:paraId="4D6521D1" w14:textId="193F0296" w:rsidR="00394946" w:rsidRDefault="00394946" w:rsidP="00B960E1">
      <w:pPr>
        <w:spacing w:after="0" w:line="240" w:lineRule="auto"/>
        <w:ind w:left="360"/>
        <w:jc w:val="center"/>
        <w:rPr>
          <w:rFonts w:asciiTheme="minorBidi" w:hAnsiTheme="minorBidi"/>
          <w:b/>
          <w:bCs/>
        </w:rPr>
      </w:pPr>
    </w:p>
    <w:p w14:paraId="07CF3F9E" w14:textId="505BFDC1" w:rsidR="00224C99" w:rsidRDefault="00224C99" w:rsidP="00224C99">
      <w:pPr>
        <w:spacing w:after="0" w:line="240" w:lineRule="auto"/>
        <w:ind w:left="36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Quotes to be received by</w:t>
      </w:r>
      <w:r w:rsidR="004120B9">
        <w:rPr>
          <w:rFonts w:asciiTheme="minorBidi" w:hAnsiTheme="minorBidi"/>
          <w:b/>
          <w:bCs/>
        </w:rPr>
        <w:t xml:space="preserve"> </w:t>
      </w:r>
      <w:r w:rsidR="004120B9" w:rsidRPr="004120B9">
        <w:rPr>
          <w:rFonts w:asciiTheme="minorBidi" w:hAnsiTheme="minorBidi"/>
          <w:b/>
          <w:bCs/>
          <w:highlight w:val="yellow"/>
        </w:rPr>
        <w:t>April 21st.</w:t>
      </w:r>
    </w:p>
    <w:p w14:paraId="715BB0DC" w14:textId="77777777" w:rsidR="00EE12D8" w:rsidRDefault="00EE12D8" w:rsidP="00B960E1">
      <w:pPr>
        <w:spacing w:after="0" w:line="240" w:lineRule="auto"/>
        <w:ind w:left="360"/>
        <w:jc w:val="center"/>
        <w:rPr>
          <w:rFonts w:asciiTheme="minorBidi" w:hAnsiTheme="minorBidi"/>
          <w:b/>
          <w:bCs/>
        </w:rPr>
      </w:pPr>
    </w:p>
    <w:p w14:paraId="508A5979" w14:textId="4701CEFB" w:rsidR="00EE12D8" w:rsidRPr="0015126B" w:rsidRDefault="00EE12D8" w:rsidP="00EE12D8">
      <w:pPr>
        <w:spacing w:after="0" w:line="240" w:lineRule="auto"/>
        <w:ind w:left="36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 xml:space="preserve">All </w:t>
      </w:r>
      <w:r w:rsidR="004120B9">
        <w:rPr>
          <w:rFonts w:asciiTheme="minorBidi" w:hAnsiTheme="minorBidi"/>
          <w:b/>
          <w:bCs/>
        </w:rPr>
        <w:t>quotations</w:t>
      </w:r>
      <w:r>
        <w:rPr>
          <w:rFonts w:asciiTheme="minorBidi" w:hAnsiTheme="minorBidi"/>
          <w:b/>
          <w:bCs/>
        </w:rPr>
        <w:t xml:space="preserve"> and questions should be sent to </w:t>
      </w:r>
      <w:hyperlink r:id="rId8" w:history="1">
        <w:r w:rsidRPr="00735835">
          <w:rPr>
            <w:rStyle w:val="Hyperlink"/>
            <w:rFonts w:asciiTheme="minorBidi" w:hAnsiTheme="minorBidi"/>
            <w:b/>
            <w:bCs/>
          </w:rPr>
          <w:t>Taylor.Foltz@rescue.org</w:t>
        </w:r>
      </w:hyperlink>
      <w:r>
        <w:rPr>
          <w:rFonts w:asciiTheme="minorBidi" w:hAnsiTheme="minorBidi"/>
          <w:b/>
          <w:bCs/>
        </w:rPr>
        <w:t xml:space="preserve"> </w:t>
      </w:r>
      <w:r w:rsidR="00224C99">
        <w:rPr>
          <w:rFonts w:asciiTheme="minorBidi" w:hAnsiTheme="minorBidi"/>
          <w:b/>
          <w:bCs/>
        </w:rPr>
        <w:t xml:space="preserve">and </w:t>
      </w:r>
      <w:hyperlink r:id="rId9" w:history="1">
        <w:r w:rsidR="004120B9" w:rsidRPr="00735835">
          <w:rPr>
            <w:rStyle w:val="Hyperlink"/>
            <w:rFonts w:asciiTheme="minorBidi" w:hAnsiTheme="minorBidi"/>
            <w:b/>
            <w:bCs/>
          </w:rPr>
          <w:t>Elizabeth.Farmer@rescue.org</w:t>
        </w:r>
      </w:hyperlink>
      <w:r w:rsidR="004120B9">
        <w:rPr>
          <w:rFonts w:asciiTheme="minorBidi" w:hAnsiTheme="minorBidi"/>
          <w:b/>
          <w:bCs/>
        </w:rPr>
        <w:t>.</w:t>
      </w:r>
    </w:p>
    <w:sectPr w:rsidR="00EE12D8" w:rsidRPr="0015126B" w:rsidSect="001C2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C4E44" w14:textId="77777777" w:rsidR="00984FEE" w:rsidRDefault="00984FEE" w:rsidP="00130B06">
      <w:pPr>
        <w:spacing w:after="0" w:line="240" w:lineRule="auto"/>
      </w:pPr>
      <w:r>
        <w:separator/>
      </w:r>
    </w:p>
  </w:endnote>
  <w:endnote w:type="continuationSeparator" w:id="0">
    <w:p w14:paraId="5E21A12E" w14:textId="77777777" w:rsidR="00984FEE" w:rsidRDefault="00984FEE" w:rsidP="00130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51A80" w14:textId="77777777" w:rsidR="00984FEE" w:rsidRDefault="00984FEE" w:rsidP="00130B06">
      <w:pPr>
        <w:spacing w:after="0" w:line="240" w:lineRule="auto"/>
      </w:pPr>
      <w:r>
        <w:separator/>
      </w:r>
    </w:p>
  </w:footnote>
  <w:footnote w:type="continuationSeparator" w:id="0">
    <w:p w14:paraId="004F3046" w14:textId="77777777" w:rsidR="00984FEE" w:rsidRDefault="00984FEE" w:rsidP="00130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C11"/>
    <w:multiLevelType w:val="multilevel"/>
    <w:tmpl w:val="3D2A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F7B0B"/>
    <w:multiLevelType w:val="hybridMultilevel"/>
    <w:tmpl w:val="2A7AD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4F58"/>
    <w:multiLevelType w:val="hybridMultilevel"/>
    <w:tmpl w:val="B47CA28A"/>
    <w:lvl w:ilvl="0" w:tplc="50621818">
      <w:start w:val="1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3" w15:restartNumberingAfterBreak="0">
    <w:nsid w:val="0B416AA9"/>
    <w:multiLevelType w:val="multilevel"/>
    <w:tmpl w:val="470C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FE0205"/>
    <w:multiLevelType w:val="hybridMultilevel"/>
    <w:tmpl w:val="34CCFC10"/>
    <w:lvl w:ilvl="0" w:tplc="0409000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5" w15:restartNumberingAfterBreak="0">
    <w:nsid w:val="15E92F90"/>
    <w:multiLevelType w:val="multilevel"/>
    <w:tmpl w:val="BE22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CF63DD"/>
    <w:multiLevelType w:val="multilevel"/>
    <w:tmpl w:val="3D2A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F0AC0"/>
    <w:multiLevelType w:val="hybridMultilevel"/>
    <w:tmpl w:val="CB32EACE"/>
    <w:lvl w:ilvl="0" w:tplc="A5400B9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A1B632E0">
      <w:start w:val="1"/>
      <w:numFmt w:val="lowerLetter"/>
      <w:lvlText w:val="%2."/>
      <w:lvlJc w:val="left"/>
      <w:pPr>
        <w:ind w:left="1440" w:hanging="360"/>
      </w:pPr>
      <w:rPr>
        <w:i w:val="0"/>
        <w:iCs/>
      </w:rPr>
    </w:lvl>
    <w:lvl w:ilvl="2" w:tplc="4E243502">
      <w:start w:val="1"/>
      <w:numFmt w:val="lowerRoman"/>
      <w:lvlText w:val="%3."/>
      <w:lvlJc w:val="right"/>
      <w:pPr>
        <w:ind w:left="2160" w:hanging="180"/>
      </w:pPr>
      <w:rPr>
        <w:i w:val="0"/>
        <w:i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F47FA"/>
    <w:multiLevelType w:val="multilevel"/>
    <w:tmpl w:val="2008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2F830E9"/>
    <w:multiLevelType w:val="multilevel"/>
    <w:tmpl w:val="3D2A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273798"/>
    <w:multiLevelType w:val="hybridMultilevel"/>
    <w:tmpl w:val="EC9A5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2049F"/>
    <w:multiLevelType w:val="multilevel"/>
    <w:tmpl w:val="D372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600F43"/>
    <w:multiLevelType w:val="hybridMultilevel"/>
    <w:tmpl w:val="B058C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954BF9"/>
    <w:multiLevelType w:val="multilevel"/>
    <w:tmpl w:val="B41E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C96AE7"/>
    <w:multiLevelType w:val="multilevel"/>
    <w:tmpl w:val="3D2A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D648A0"/>
    <w:multiLevelType w:val="hybridMultilevel"/>
    <w:tmpl w:val="2BD28F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7001E"/>
    <w:multiLevelType w:val="hybridMultilevel"/>
    <w:tmpl w:val="3D540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217BC"/>
    <w:multiLevelType w:val="multilevel"/>
    <w:tmpl w:val="6CD2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5AA6956"/>
    <w:multiLevelType w:val="multilevel"/>
    <w:tmpl w:val="3D2A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1859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85D19FA"/>
    <w:multiLevelType w:val="multilevel"/>
    <w:tmpl w:val="8FA08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6F7C50"/>
    <w:multiLevelType w:val="multilevel"/>
    <w:tmpl w:val="3D2A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8612ED"/>
    <w:multiLevelType w:val="multilevel"/>
    <w:tmpl w:val="7DFC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0066E6"/>
    <w:multiLevelType w:val="hybridMultilevel"/>
    <w:tmpl w:val="7FFC7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8F1D56"/>
    <w:multiLevelType w:val="multilevel"/>
    <w:tmpl w:val="3D2A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0E6840"/>
    <w:multiLevelType w:val="hybridMultilevel"/>
    <w:tmpl w:val="5F523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91BE2"/>
    <w:multiLevelType w:val="hybridMultilevel"/>
    <w:tmpl w:val="DB7E2514"/>
    <w:lvl w:ilvl="0" w:tplc="94169978">
      <w:start w:val="3"/>
      <w:numFmt w:val="bullet"/>
      <w:lvlText w:val="•"/>
      <w:lvlJc w:val="left"/>
      <w:pPr>
        <w:ind w:left="720" w:hanging="360"/>
      </w:pPr>
      <w:rPr>
        <w:rFonts w:ascii="Aptos Narrow" w:eastAsia="Times New Roman" w:hAnsi="Aptos Narrow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E76C3"/>
    <w:multiLevelType w:val="multilevel"/>
    <w:tmpl w:val="E16E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76931E5"/>
    <w:multiLevelType w:val="hybridMultilevel"/>
    <w:tmpl w:val="B10E1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67C8C"/>
    <w:multiLevelType w:val="multilevel"/>
    <w:tmpl w:val="3D2A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3E49B3"/>
    <w:multiLevelType w:val="multilevel"/>
    <w:tmpl w:val="3D2A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3F745E"/>
    <w:multiLevelType w:val="hybridMultilevel"/>
    <w:tmpl w:val="1EF4D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F47C0"/>
    <w:multiLevelType w:val="multilevel"/>
    <w:tmpl w:val="3D2A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330C80"/>
    <w:multiLevelType w:val="multilevel"/>
    <w:tmpl w:val="80D29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51704F"/>
    <w:multiLevelType w:val="multilevel"/>
    <w:tmpl w:val="9284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6C6F71"/>
    <w:multiLevelType w:val="hybridMultilevel"/>
    <w:tmpl w:val="3474BB48"/>
    <w:lvl w:ilvl="0" w:tplc="94169978">
      <w:start w:val="3"/>
      <w:numFmt w:val="bullet"/>
      <w:lvlText w:val="•"/>
      <w:lvlJc w:val="left"/>
      <w:pPr>
        <w:ind w:left="720" w:hanging="360"/>
      </w:pPr>
      <w:rPr>
        <w:rFonts w:ascii="Aptos Narrow" w:eastAsia="Times New Roman" w:hAnsi="Aptos Narrow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3C2F75"/>
    <w:multiLevelType w:val="multilevel"/>
    <w:tmpl w:val="3D2A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8D4EC9"/>
    <w:multiLevelType w:val="multilevel"/>
    <w:tmpl w:val="91DC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7BE0C55"/>
    <w:multiLevelType w:val="multilevel"/>
    <w:tmpl w:val="3D2A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BD3A7B"/>
    <w:multiLevelType w:val="multilevel"/>
    <w:tmpl w:val="9AF0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1A6D31"/>
    <w:multiLevelType w:val="multilevel"/>
    <w:tmpl w:val="862C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F2877A7"/>
    <w:multiLevelType w:val="hybridMultilevel"/>
    <w:tmpl w:val="8C0C2D7C"/>
    <w:lvl w:ilvl="0" w:tplc="94169978">
      <w:start w:val="3"/>
      <w:numFmt w:val="bullet"/>
      <w:lvlText w:val="•"/>
      <w:lvlJc w:val="left"/>
      <w:pPr>
        <w:ind w:left="720" w:hanging="360"/>
      </w:pPr>
      <w:rPr>
        <w:rFonts w:ascii="Aptos Narrow" w:eastAsia="Times New Roman" w:hAnsi="Aptos Narrow" w:cstheme="minorBid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6515E0"/>
    <w:multiLevelType w:val="hybridMultilevel"/>
    <w:tmpl w:val="6C767420"/>
    <w:lvl w:ilvl="0" w:tplc="4094BAA2">
      <w:start w:val="1"/>
      <w:numFmt w:val="decimal"/>
      <w:lvlText w:val="%1."/>
      <w:lvlJc w:val="left"/>
      <w:pPr>
        <w:ind w:left="7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num w:numId="1" w16cid:durableId="1259679175">
    <w:abstractNumId w:val="37"/>
  </w:num>
  <w:num w:numId="2" w16cid:durableId="1769427290">
    <w:abstractNumId w:val="27"/>
  </w:num>
  <w:num w:numId="3" w16cid:durableId="961962858">
    <w:abstractNumId w:val="8"/>
  </w:num>
  <w:num w:numId="4" w16cid:durableId="1606424727">
    <w:abstractNumId w:val="17"/>
  </w:num>
  <w:num w:numId="5" w16cid:durableId="1572156322">
    <w:abstractNumId w:val="40"/>
  </w:num>
  <w:num w:numId="6" w16cid:durableId="593056791">
    <w:abstractNumId w:val="11"/>
  </w:num>
  <w:num w:numId="7" w16cid:durableId="303200318">
    <w:abstractNumId w:val="7"/>
  </w:num>
  <w:num w:numId="8" w16cid:durableId="863399034">
    <w:abstractNumId w:val="4"/>
  </w:num>
  <w:num w:numId="9" w16cid:durableId="874855974">
    <w:abstractNumId w:val="31"/>
  </w:num>
  <w:num w:numId="10" w16cid:durableId="1962032118">
    <w:abstractNumId w:val="1"/>
  </w:num>
  <w:num w:numId="11" w16cid:durableId="1672877727">
    <w:abstractNumId w:val="2"/>
  </w:num>
  <w:num w:numId="12" w16cid:durableId="155145614">
    <w:abstractNumId w:val="42"/>
  </w:num>
  <w:num w:numId="13" w16cid:durableId="1076391276">
    <w:abstractNumId w:val="25"/>
  </w:num>
  <w:num w:numId="14" w16cid:durableId="1398432137">
    <w:abstractNumId w:val="12"/>
  </w:num>
  <w:num w:numId="15" w16cid:durableId="1563448597">
    <w:abstractNumId w:val="23"/>
  </w:num>
  <w:num w:numId="16" w16cid:durableId="1448548477">
    <w:abstractNumId w:val="16"/>
  </w:num>
  <w:num w:numId="17" w16cid:durableId="2133742355">
    <w:abstractNumId w:val="19"/>
  </w:num>
  <w:num w:numId="18" w16cid:durableId="1335230516">
    <w:abstractNumId w:val="10"/>
  </w:num>
  <w:num w:numId="19" w16cid:durableId="1924677639">
    <w:abstractNumId w:val="3"/>
  </w:num>
  <w:num w:numId="20" w16cid:durableId="228657093">
    <w:abstractNumId w:val="15"/>
  </w:num>
  <w:num w:numId="21" w16cid:durableId="567032483">
    <w:abstractNumId w:val="20"/>
  </w:num>
  <w:num w:numId="22" w16cid:durableId="1793279228">
    <w:abstractNumId w:val="39"/>
  </w:num>
  <w:num w:numId="23" w16cid:durableId="946043782">
    <w:abstractNumId w:val="33"/>
  </w:num>
  <w:num w:numId="24" w16cid:durableId="2137605778">
    <w:abstractNumId w:val="13"/>
  </w:num>
  <w:num w:numId="25" w16cid:durableId="717823492">
    <w:abstractNumId w:val="5"/>
  </w:num>
  <w:num w:numId="26" w16cid:durableId="1164399936">
    <w:abstractNumId w:val="22"/>
  </w:num>
  <w:num w:numId="27" w16cid:durableId="1305771171">
    <w:abstractNumId w:val="34"/>
  </w:num>
  <w:num w:numId="28" w16cid:durableId="1616477641">
    <w:abstractNumId w:val="32"/>
  </w:num>
  <w:num w:numId="29" w16cid:durableId="710299729">
    <w:abstractNumId w:val="9"/>
  </w:num>
  <w:num w:numId="30" w16cid:durableId="1542476172">
    <w:abstractNumId w:val="6"/>
  </w:num>
  <w:num w:numId="31" w16cid:durableId="606155779">
    <w:abstractNumId w:val="24"/>
  </w:num>
  <w:num w:numId="32" w16cid:durableId="545945029">
    <w:abstractNumId w:val="28"/>
  </w:num>
  <w:num w:numId="33" w16cid:durableId="1675104241">
    <w:abstractNumId w:val="35"/>
  </w:num>
  <w:num w:numId="34" w16cid:durableId="1129664506">
    <w:abstractNumId w:val="38"/>
  </w:num>
  <w:num w:numId="35" w16cid:durableId="266353893">
    <w:abstractNumId w:val="30"/>
  </w:num>
  <w:num w:numId="36" w16cid:durableId="1975022554">
    <w:abstractNumId w:val="3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7" w16cid:durableId="978925234">
    <w:abstractNumId w:val="3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8" w16cid:durableId="376704566">
    <w:abstractNumId w:val="3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9" w16cid:durableId="1999383272">
    <w:abstractNumId w:val="0"/>
  </w:num>
  <w:num w:numId="40" w16cid:durableId="2011177907">
    <w:abstractNumId w:val="14"/>
  </w:num>
  <w:num w:numId="41" w16cid:durableId="1498300249">
    <w:abstractNumId w:val="18"/>
  </w:num>
  <w:num w:numId="42" w16cid:durableId="1777870238">
    <w:abstractNumId w:val="36"/>
  </w:num>
  <w:num w:numId="43" w16cid:durableId="1224410056">
    <w:abstractNumId w:val="29"/>
  </w:num>
  <w:num w:numId="44" w16cid:durableId="1241476825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5" w16cid:durableId="1762598657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6" w16cid:durableId="955218285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7" w16cid:durableId="1705907387">
    <w:abstractNumId w:val="2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8" w16cid:durableId="1391071043">
    <w:abstractNumId w:val="21"/>
  </w:num>
  <w:num w:numId="49" w16cid:durableId="1465151046">
    <w:abstractNumId w:val="26"/>
  </w:num>
  <w:num w:numId="50" w16cid:durableId="1776258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05A"/>
    <w:rsid w:val="00005EDF"/>
    <w:rsid w:val="00031963"/>
    <w:rsid w:val="00045EAB"/>
    <w:rsid w:val="000B556B"/>
    <w:rsid w:val="000C007F"/>
    <w:rsid w:val="0011340E"/>
    <w:rsid w:val="001233CD"/>
    <w:rsid w:val="00130B06"/>
    <w:rsid w:val="0015126B"/>
    <w:rsid w:val="00152ED2"/>
    <w:rsid w:val="001616EC"/>
    <w:rsid w:val="001744FA"/>
    <w:rsid w:val="001B2C7D"/>
    <w:rsid w:val="001C2E6C"/>
    <w:rsid w:val="001E34EE"/>
    <w:rsid w:val="001E4E82"/>
    <w:rsid w:val="00223A6D"/>
    <w:rsid w:val="00224C99"/>
    <w:rsid w:val="00236399"/>
    <w:rsid w:val="00260D03"/>
    <w:rsid w:val="00275F3F"/>
    <w:rsid w:val="00293A61"/>
    <w:rsid w:val="002A203D"/>
    <w:rsid w:val="002A321C"/>
    <w:rsid w:val="002C1160"/>
    <w:rsid w:val="002C425B"/>
    <w:rsid w:val="00310608"/>
    <w:rsid w:val="00314E0E"/>
    <w:rsid w:val="003604E7"/>
    <w:rsid w:val="003612FE"/>
    <w:rsid w:val="0037043A"/>
    <w:rsid w:val="00394946"/>
    <w:rsid w:val="003A305A"/>
    <w:rsid w:val="003A3A55"/>
    <w:rsid w:val="003B020B"/>
    <w:rsid w:val="004120B9"/>
    <w:rsid w:val="00452493"/>
    <w:rsid w:val="00470BAB"/>
    <w:rsid w:val="00490C98"/>
    <w:rsid w:val="00491AC2"/>
    <w:rsid w:val="00496D37"/>
    <w:rsid w:val="004C2ED9"/>
    <w:rsid w:val="004C7855"/>
    <w:rsid w:val="004E6002"/>
    <w:rsid w:val="004E6053"/>
    <w:rsid w:val="004F6A7E"/>
    <w:rsid w:val="005001A3"/>
    <w:rsid w:val="005022A7"/>
    <w:rsid w:val="00527CC8"/>
    <w:rsid w:val="00534653"/>
    <w:rsid w:val="00544279"/>
    <w:rsid w:val="00576FBE"/>
    <w:rsid w:val="00582194"/>
    <w:rsid w:val="0059686D"/>
    <w:rsid w:val="005B3A95"/>
    <w:rsid w:val="005D0FEA"/>
    <w:rsid w:val="005F78C7"/>
    <w:rsid w:val="00620CE6"/>
    <w:rsid w:val="00623273"/>
    <w:rsid w:val="006634D8"/>
    <w:rsid w:val="006C4D99"/>
    <w:rsid w:val="006C6EB7"/>
    <w:rsid w:val="006C7C42"/>
    <w:rsid w:val="006E272B"/>
    <w:rsid w:val="006E56E6"/>
    <w:rsid w:val="00704043"/>
    <w:rsid w:val="00770D72"/>
    <w:rsid w:val="007E191C"/>
    <w:rsid w:val="007E77C9"/>
    <w:rsid w:val="00807A43"/>
    <w:rsid w:val="008830D0"/>
    <w:rsid w:val="008949BC"/>
    <w:rsid w:val="008A34FD"/>
    <w:rsid w:val="008C0956"/>
    <w:rsid w:val="008F643C"/>
    <w:rsid w:val="00903457"/>
    <w:rsid w:val="0094278B"/>
    <w:rsid w:val="009520D4"/>
    <w:rsid w:val="009537A0"/>
    <w:rsid w:val="0095480E"/>
    <w:rsid w:val="009549E1"/>
    <w:rsid w:val="00960BA6"/>
    <w:rsid w:val="00965BBF"/>
    <w:rsid w:val="00982601"/>
    <w:rsid w:val="0098397D"/>
    <w:rsid w:val="00984FEE"/>
    <w:rsid w:val="009D23E4"/>
    <w:rsid w:val="009D6D87"/>
    <w:rsid w:val="00A047D1"/>
    <w:rsid w:val="00A35562"/>
    <w:rsid w:val="00A432CC"/>
    <w:rsid w:val="00A50161"/>
    <w:rsid w:val="00A64318"/>
    <w:rsid w:val="00A72221"/>
    <w:rsid w:val="00A74B29"/>
    <w:rsid w:val="00AA41F4"/>
    <w:rsid w:val="00AA4918"/>
    <w:rsid w:val="00AD02CC"/>
    <w:rsid w:val="00AD6999"/>
    <w:rsid w:val="00AE0322"/>
    <w:rsid w:val="00AE7349"/>
    <w:rsid w:val="00AF1AF7"/>
    <w:rsid w:val="00B004B0"/>
    <w:rsid w:val="00B15653"/>
    <w:rsid w:val="00B202D5"/>
    <w:rsid w:val="00B640ED"/>
    <w:rsid w:val="00B77D32"/>
    <w:rsid w:val="00B80D9E"/>
    <w:rsid w:val="00B960E1"/>
    <w:rsid w:val="00B97D9B"/>
    <w:rsid w:val="00BD2115"/>
    <w:rsid w:val="00BF50CE"/>
    <w:rsid w:val="00C01584"/>
    <w:rsid w:val="00C02387"/>
    <w:rsid w:val="00C11534"/>
    <w:rsid w:val="00C2590C"/>
    <w:rsid w:val="00C25CB3"/>
    <w:rsid w:val="00C3399C"/>
    <w:rsid w:val="00C53CFC"/>
    <w:rsid w:val="00C73851"/>
    <w:rsid w:val="00CA0658"/>
    <w:rsid w:val="00CA3463"/>
    <w:rsid w:val="00CA3540"/>
    <w:rsid w:val="00CA4FF5"/>
    <w:rsid w:val="00CA5E79"/>
    <w:rsid w:val="00CA7A13"/>
    <w:rsid w:val="00CB7FD1"/>
    <w:rsid w:val="00CD408C"/>
    <w:rsid w:val="00CD7FD2"/>
    <w:rsid w:val="00CF6C01"/>
    <w:rsid w:val="00D03FB1"/>
    <w:rsid w:val="00D13041"/>
    <w:rsid w:val="00D428F4"/>
    <w:rsid w:val="00D54BFC"/>
    <w:rsid w:val="00D90ADC"/>
    <w:rsid w:val="00D964A4"/>
    <w:rsid w:val="00DA28FB"/>
    <w:rsid w:val="00E46EED"/>
    <w:rsid w:val="00E569D2"/>
    <w:rsid w:val="00E622A6"/>
    <w:rsid w:val="00E730A5"/>
    <w:rsid w:val="00E76A05"/>
    <w:rsid w:val="00E93024"/>
    <w:rsid w:val="00EA271D"/>
    <w:rsid w:val="00EE12D8"/>
    <w:rsid w:val="00EE3759"/>
    <w:rsid w:val="00EF69E2"/>
    <w:rsid w:val="00F06EC3"/>
    <w:rsid w:val="00F156E5"/>
    <w:rsid w:val="00F519E4"/>
    <w:rsid w:val="00F525AE"/>
    <w:rsid w:val="00F55A45"/>
    <w:rsid w:val="00F649D6"/>
    <w:rsid w:val="00FB4DFB"/>
    <w:rsid w:val="00FC6D76"/>
    <w:rsid w:val="00FE10BD"/>
    <w:rsid w:val="00FF4001"/>
    <w:rsid w:val="02986DE1"/>
    <w:rsid w:val="0B50B833"/>
    <w:rsid w:val="0C527B88"/>
    <w:rsid w:val="0D760D68"/>
    <w:rsid w:val="11C1C2A2"/>
    <w:rsid w:val="14AEA1F9"/>
    <w:rsid w:val="16906297"/>
    <w:rsid w:val="1AFE4070"/>
    <w:rsid w:val="1B4005FB"/>
    <w:rsid w:val="277E2728"/>
    <w:rsid w:val="29564569"/>
    <w:rsid w:val="2BBC0DE6"/>
    <w:rsid w:val="394496B0"/>
    <w:rsid w:val="3FFEE1FF"/>
    <w:rsid w:val="413FBB3D"/>
    <w:rsid w:val="42D47BA8"/>
    <w:rsid w:val="4600EF59"/>
    <w:rsid w:val="48A5D1F0"/>
    <w:rsid w:val="5B9936D1"/>
    <w:rsid w:val="5BAAF5D9"/>
    <w:rsid w:val="5C1971BC"/>
    <w:rsid w:val="604B973B"/>
    <w:rsid w:val="6452E1E9"/>
    <w:rsid w:val="690E7413"/>
    <w:rsid w:val="69A2C4B9"/>
    <w:rsid w:val="6B75D9F2"/>
    <w:rsid w:val="72F2E964"/>
    <w:rsid w:val="753BB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8ECA9"/>
  <w15:chartTrackingRefBased/>
  <w15:docId w15:val="{C3C4154C-4966-4F96-BB7D-EF241C8B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A34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8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22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346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instruction">
    <w:name w:val="instruction"/>
    <w:basedOn w:val="Normal"/>
    <w:rsid w:val="00CA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A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30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B06"/>
  </w:style>
  <w:style w:type="paragraph" w:styleId="Footer">
    <w:name w:val="footer"/>
    <w:basedOn w:val="Normal"/>
    <w:link w:val="FooterChar"/>
    <w:uiPriority w:val="99"/>
    <w:unhideWhenUsed/>
    <w:rsid w:val="00130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B06"/>
  </w:style>
  <w:style w:type="character" w:styleId="CommentReference">
    <w:name w:val="annotation reference"/>
    <w:basedOn w:val="DefaultParagraphFont"/>
    <w:uiPriority w:val="99"/>
    <w:semiHidden/>
    <w:unhideWhenUsed/>
    <w:rsid w:val="00EE37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375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375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EE3759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EE3759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FD1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FD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BD2115"/>
  </w:style>
  <w:style w:type="character" w:customStyle="1" w:styleId="eop">
    <w:name w:val="eop"/>
    <w:basedOn w:val="DefaultParagraphFont"/>
    <w:rsid w:val="00BD2115"/>
  </w:style>
  <w:style w:type="paragraph" w:styleId="Revision">
    <w:name w:val="Revision"/>
    <w:hidden/>
    <w:uiPriority w:val="99"/>
    <w:semiHidden/>
    <w:rsid w:val="00A432CC"/>
    <w:pPr>
      <w:spacing w:after="0" w:line="240" w:lineRule="auto"/>
    </w:pPr>
  </w:style>
  <w:style w:type="table" w:styleId="TableGrid">
    <w:name w:val="Table Grid"/>
    <w:basedOn w:val="TableNormal"/>
    <w:uiPriority w:val="39"/>
    <w:rsid w:val="00113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4C78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A3540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222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unhideWhenUsed/>
    <w:rsid w:val="00EE12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5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ylor.Foltz@rescu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lizabeth.Farmer@rescu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1000</Words>
  <Characters>5702</Characters>
  <Application>Microsoft Office Word</Application>
  <DocSecurity>0</DocSecurity>
  <Lines>47</Lines>
  <Paragraphs>13</Paragraphs>
  <ScaleCrop>false</ScaleCrop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Rewan Sattar</dc:creator>
  <cp:keywords/>
  <dc:description/>
  <cp:lastModifiedBy>Taylor Foltz</cp:lastModifiedBy>
  <cp:revision>6</cp:revision>
  <dcterms:created xsi:type="dcterms:W3CDTF">2026-03-10T14:29:00Z</dcterms:created>
  <dcterms:modified xsi:type="dcterms:W3CDTF">2026-04-07T16:49:00Z</dcterms:modified>
</cp:coreProperties>
</file>