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69D8" w14:textId="481131ED" w:rsidR="00986A5B" w:rsidRPr="00986A5B" w:rsidRDefault="00986A5B" w:rsidP="00BF4816">
      <w:pPr>
        <w:spacing w:before="240" w:after="240"/>
        <w:jc w:val="both"/>
        <w:rPr>
          <w:rFonts w:ascii="Calibri" w:eastAsia="Times New Roman" w:hAnsi="Calibri" w:cs="Calibri"/>
          <w:b/>
          <w:bCs/>
          <w:color w:val="000000"/>
          <w:sz w:val="26"/>
          <w:szCs w:val="26"/>
        </w:rPr>
      </w:pPr>
      <w:r w:rsidRPr="00986A5B">
        <w:rPr>
          <w:rFonts w:cstheme="minorHAnsi"/>
          <w:b/>
          <w:bCs/>
          <w:noProof/>
          <w:color w:val="000000" w:themeColor="text1"/>
          <w:sz w:val="22"/>
          <w:szCs w:val="22"/>
          <w:u w:color="FFC000"/>
        </w:rPr>
        <mc:AlternateContent>
          <mc:Choice Requires="wps">
            <w:drawing>
              <wp:anchor distT="45720" distB="45720" distL="114300" distR="114300" simplePos="0" relativeHeight="251669504" behindDoc="1" locked="0" layoutInCell="1" allowOverlap="1" wp14:anchorId="66A6A60C" wp14:editId="3E453CC7">
                <wp:simplePos x="0" y="0"/>
                <wp:positionH relativeFrom="margin">
                  <wp:posOffset>1</wp:posOffset>
                </wp:positionH>
                <wp:positionV relativeFrom="paragraph">
                  <wp:posOffset>117475</wp:posOffset>
                </wp:positionV>
                <wp:extent cx="1371600" cy="260985"/>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0985"/>
                        </a:xfrm>
                        <a:prstGeom prst="rect">
                          <a:avLst/>
                        </a:prstGeom>
                        <a:solidFill>
                          <a:srgbClr val="FFC000"/>
                        </a:solidFill>
                        <a:ln w="9525">
                          <a:noFill/>
                          <a:miter lim="800000"/>
                          <a:headEnd/>
                          <a:tailEnd/>
                        </a:ln>
                      </wps:spPr>
                      <wps:txbx>
                        <w:txbxContent>
                          <w:p w14:paraId="78A9B21E" w14:textId="77777777" w:rsidR="00986A5B" w:rsidRPr="004C7691" w:rsidRDefault="00986A5B" w:rsidP="00986A5B">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A6A60C" id="_x0000_t202" coordsize="21600,21600" o:spt="202" path="m,l,21600r21600,l21600,xe">
                <v:stroke joinstyle="miter"/>
                <v:path gradientshapeok="t" o:connecttype="rect"/>
              </v:shapetype>
              <v:shape id="Text Box 2" o:spid="_x0000_s1026" type="#_x0000_t202" style="position:absolute;left:0;text-align:left;margin-left:0;margin-top:9.25pt;width:108pt;height:20.5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" fillcolor="#ffc000" stroked="f">
                <v:textbox>
                  <w:txbxContent>
                    <w:p w14:paraId="78A9B21E" w14:textId="77777777" w:rsidR="00986A5B" w:rsidRPr="004C7691" w:rsidRDefault="00986A5B" w:rsidP="00986A5B">
                      <w:pPr>
                        <w:spacing w:line="240" w:lineRule="exact"/>
                        <w:contextualSpacing/>
                        <w:rPr>
                          <w:b/>
                          <w:bCs/>
                          <w:sz w:val="26"/>
                          <w:szCs w:val="26"/>
                        </w:rPr>
                      </w:pPr>
                    </w:p>
                  </w:txbxContent>
                </v:textbox>
                <w10:wrap anchorx="margin"/>
              </v:shape>
            </w:pict>
          </mc:Fallback>
        </mc:AlternateContent>
      </w:r>
      <w:r w:rsidRPr="00986A5B">
        <w:rPr>
          <w:rFonts w:ascii="Calibri" w:eastAsia="Times New Roman" w:hAnsi="Calibri" w:cs="Calibri"/>
          <w:b/>
          <w:bCs/>
          <w:color w:val="000000"/>
          <w:sz w:val="26"/>
          <w:szCs w:val="26"/>
        </w:rPr>
        <w:t>Executive Summary</w:t>
      </w:r>
    </w:p>
    <w:p w14:paraId="0A6D5806" w14:textId="1282DEC8" w:rsidR="00BF4816" w:rsidRPr="00BF4816" w:rsidRDefault="00BF4816" w:rsidP="00BF4816">
      <w:pPr>
        <w:spacing w:before="240" w:after="240"/>
        <w:jc w:val="both"/>
        <w:rPr>
          <w:rFonts w:ascii="Calibri" w:eastAsia="Times New Roman" w:hAnsi="Calibri" w:cs="Calibri"/>
          <w:color w:val="000000"/>
          <w:sz w:val="26"/>
          <w:szCs w:val="26"/>
        </w:rPr>
      </w:pPr>
      <w:r w:rsidRPr="00BF4816">
        <w:rPr>
          <w:rFonts w:ascii="Calibri" w:eastAsia="Times New Roman" w:hAnsi="Calibri" w:cs="Calibri"/>
          <w:color w:val="000000"/>
          <w:sz w:val="22"/>
          <w:szCs w:val="22"/>
        </w:rPr>
        <w:t xml:space="preserve">While wealthier nations begin to offer already fully vaccinated populations a third dose, many countries lag far behind </w:t>
      </w:r>
      <w:r w:rsidR="00685794">
        <w:rPr>
          <w:rFonts w:ascii="Calibri" w:eastAsia="Times New Roman" w:hAnsi="Calibri" w:cs="Calibri"/>
          <w:color w:val="000000"/>
          <w:sz w:val="22"/>
          <w:szCs w:val="22"/>
        </w:rPr>
        <w:t xml:space="preserve">– </w:t>
      </w:r>
      <w:r w:rsidRPr="00BF4816">
        <w:rPr>
          <w:rFonts w:ascii="Calibri" w:eastAsia="Times New Roman" w:hAnsi="Calibri" w:cs="Calibri"/>
          <w:color w:val="000000"/>
          <w:sz w:val="22"/>
          <w:szCs w:val="22"/>
        </w:rPr>
        <w:t xml:space="preserve">and many vulnerable populations are struggling to even obtain their first. The WHO has reported that </w:t>
      </w:r>
      <w:hyperlink r:id="rId8" w:history="1">
        <w:r w:rsidRPr="00BF4816">
          <w:rPr>
            <w:rFonts w:ascii="Calibri" w:eastAsia="Times New Roman" w:hAnsi="Calibri" w:cs="Calibri"/>
            <w:color w:val="1155CC"/>
            <w:sz w:val="22"/>
            <w:szCs w:val="22"/>
            <w:u w:val="single"/>
          </w:rPr>
          <w:t>more than 80 percent of vaccines</w:t>
        </w:r>
      </w:hyperlink>
      <w:r w:rsidRPr="00BF4816">
        <w:rPr>
          <w:rFonts w:ascii="Calibri" w:eastAsia="Times New Roman" w:hAnsi="Calibri" w:cs="Calibri"/>
          <w:color w:val="000000"/>
          <w:sz w:val="22"/>
          <w:szCs w:val="22"/>
        </w:rPr>
        <w:t xml:space="preserve"> have gone to high- and upper-middle income countries, even though they comprise less than half of the world’s population. In the 20 countries </w:t>
      </w:r>
      <w:hyperlink r:id="rId9" w:history="1">
        <w:r w:rsidRPr="00BF4816">
          <w:rPr>
            <w:rFonts w:ascii="Calibri" w:eastAsia="Times New Roman" w:hAnsi="Calibri" w:cs="Calibri"/>
            <w:color w:val="1155CC"/>
            <w:sz w:val="22"/>
            <w:szCs w:val="22"/>
            <w:u w:val="single"/>
          </w:rPr>
          <w:t>identified by IRC</w:t>
        </w:r>
      </w:hyperlink>
      <w:r w:rsidRPr="00BF4816">
        <w:rPr>
          <w:rFonts w:ascii="Calibri" w:eastAsia="Times New Roman" w:hAnsi="Calibri" w:cs="Calibri"/>
          <w:color w:val="000000"/>
          <w:sz w:val="22"/>
          <w:szCs w:val="22"/>
        </w:rPr>
        <w:t xml:space="preserve"> at greatest risk of a major new</w:t>
      </w:r>
      <w:r w:rsidR="00ED372E">
        <w:rPr>
          <w:rFonts w:ascii="Calibri" w:eastAsia="Times New Roman" w:hAnsi="Calibri" w:cs="Calibri"/>
          <w:color w:val="000000"/>
          <w:sz w:val="22"/>
          <w:szCs w:val="22"/>
        </w:rPr>
        <w:t xml:space="preserve"> – </w:t>
      </w:r>
      <w:r w:rsidRPr="00BF4816">
        <w:rPr>
          <w:rFonts w:ascii="Calibri" w:eastAsia="Times New Roman" w:hAnsi="Calibri" w:cs="Calibri"/>
          <w:color w:val="000000"/>
          <w:sz w:val="22"/>
          <w:szCs w:val="22"/>
        </w:rPr>
        <w:t>or significantly worsened</w:t>
      </w:r>
      <w:r w:rsidR="00ED372E">
        <w:rPr>
          <w:rFonts w:ascii="Calibri" w:eastAsia="Times New Roman" w:hAnsi="Calibri" w:cs="Calibri"/>
          <w:color w:val="000000"/>
          <w:sz w:val="22"/>
          <w:szCs w:val="22"/>
        </w:rPr>
        <w:t xml:space="preserve"> – </w:t>
      </w:r>
      <w:r w:rsidRPr="00BF4816">
        <w:rPr>
          <w:rFonts w:ascii="Calibri" w:eastAsia="Times New Roman" w:hAnsi="Calibri" w:cs="Calibri"/>
          <w:color w:val="000000"/>
          <w:sz w:val="22"/>
          <w:szCs w:val="22"/>
        </w:rPr>
        <w:t>humanitarian crisis over 2021,</w:t>
      </w:r>
      <w:r w:rsidR="00945B2F">
        <w:rPr>
          <w:rStyle w:val="FootnoteReference"/>
          <w:rFonts w:ascii="Calibri" w:eastAsia="Times New Roman" w:hAnsi="Calibri" w:cs="Calibri"/>
          <w:color w:val="000000"/>
          <w:sz w:val="22"/>
          <w:szCs w:val="22"/>
        </w:rPr>
        <w:footnoteReference w:id="1"/>
      </w:r>
      <w:r w:rsidRPr="00BF4816">
        <w:rPr>
          <w:rFonts w:ascii="Calibri" w:eastAsia="Times New Roman" w:hAnsi="Calibri" w:cs="Calibri"/>
          <w:color w:val="000000"/>
          <w:sz w:val="22"/>
          <w:szCs w:val="22"/>
        </w:rPr>
        <w:t xml:space="preserve"> only 2.4 percent of the population has been fully vaccinated, and less than 5 percent of the population has received a single dose of the vaccine. These countries represent 10 percent of the world’s population, but account for 85 percent of those in humanitarian need.</w:t>
      </w:r>
    </w:p>
    <w:p w14:paraId="1FD6A3DE" w14:textId="10422997" w:rsidR="00BF4816" w:rsidRPr="00BF4816" w:rsidRDefault="00BF4816" w:rsidP="00BF4816">
      <w:pPr>
        <w:spacing w:before="240" w:after="240"/>
        <w:jc w:val="both"/>
        <w:rPr>
          <w:rFonts w:ascii="Calibri" w:eastAsia="Times New Roman" w:hAnsi="Calibri" w:cs="Calibri"/>
          <w:color w:val="000000"/>
        </w:rPr>
      </w:pPr>
      <w:r w:rsidRPr="00BF4816">
        <w:rPr>
          <w:rFonts w:ascii="Calibri" w:eastAsia="Times New Roman" w:hAnsi="Calibri" w:cs="Calibri"/>
          <w:color w:val="000000"/>
          <w:sz w:val="22"/>
          <w:szCs w:val="22"/>
        </w:rPr>
        <w:t>This inequity will stall the global fight against COVID</w:t>
      </w:r>
      <w:r w:rsidR="00685794">
        <w:rPr>
          <w:rFonts w:ascii="Calibri" w:eastAsia="Times New Roman" w:hAnsi="Calibri" w:cs="Calibri"/>
          <w:color w:val="000000"/>
          <w:sz w:val="22"/>
          <w:szCs w:val="22"/>
        </w:rPr>
        <w:t>-19</w:t>
      </w:r>
      <w:r w:rsidRPr="00BF4816">
        <w:rPr>
          <w:rFonts w:ascii="Calibri" w:eastAsia="Times New Roman" w:hAnsi="Calibri" w:cs="Calibri"/>
          <w:color w:val="000000"/>
          <w:sz w:val="22"/>
          <w:szCs w:val="22"/>
        </w:rPr>
        <w:t xml:space="preserve"> while making the everyday reality for those living in conflict zones and protracted displacement contexts much graver, as COVID-19 will continue to exacerbate existing humanitarian crises, driving poverty, hunger, and insecurity.</w:t>
      </w:r>
    </w:p>
    <w:p w14:paraId="08592C48" w14:textId="38C409AB" w:rsidR="00BF4816" w:rsidRPr="00BF4816" w:rsidRDefault="00BF4816" w:rsidP="00BF4816">
      <w:pPr>
        <w:spacing w:before="240" w:after="240"/>
        <w:jc w:val="both"/>
        <w:rPr>
          <w:rFonts w:ascii="Calibri" w:eastAsia="Times New Roman" w:hAnsi="Calibri" w:cs="Calibri"/>
          <w:color w:val="000000"/>
        </w:rPr>
      </w:pPr>
      <w:r w:rsidRPr="00BF4816">
        <w:rPr>
          <w:rFonts w:ascii="Calibri" w:eastAsia="Times New Roman" w:hAnsi="Calibri" w:cs="Calibri"/>
          <w:color w:val="000000"/>
          <w:sz w:val="22"/>
          <w:szCs w:val="22"/>
        </w:rPr>
        <w:t>To address this challenge, it is no longer enough to merely invest in vaccine production, as many countries simply cannot access adequate supply of vaccines. International attention should now turn to bridging gaps in access and investing in effective and inclusive vaccine distribution plans, while tackling the ongoing socio-economic impacts of the pandemic. Doing so requires more responsive global governance and actions to prioritize vulnerable populations and those hardest to reach. It also requires urgent action to mitigate the secondary impacts of the pandemic</w:t>
      </w:r>
      <w:r w:rsidR="00ED372E">
        <w:rPr>
          <w:rFonts w:ascii="Calibri" w:eastAsia="Times New Roman" w:hAnsi="Calibri" w:cs="Calibri"/>
          <w:color w:val="000000"/>
          <w:sz w:val="22"/>
          <w:szCs w:val="22"/>
        </w:rPr>
        <w:t xml:space="preserve"> –</w:t>
      </w:r>
      <w:r w:rsidRPr="00BF4816">
        <w:rPr>
          <w:rFonts w:ascii="Calibri" w:eastAsia="Times New Roman" w:hAnsi="Calibri" w:cs="Calibri"/>
          <w:color w:val="000000"/>
          <w:sz w:val="22"/>
          <w:szCs w:val="22"/>
        </w:rPr>
        <w:t xml:space="preserve"> on food insecurity and the rights of women and children </w:t>
      </w:r>
      <w:r w:rsidR="00ED372E">
        <w:rPr>
          <w:rFonts w:ascii="Calibri" w:eastAsia="Times New Roman" w:hAnsi="Calibri" w:cs="Calibri"/>
          <w:color w:val="000000"/>
          <w:sz w:val="22"/>
          <w:szCs w:val="22"/>
        </w:rPr>
        <w:t xml:space="preserve">– </w:t>
      </w:r>
      <w:r w:rsidRPr="00BF4816">
        <w:rPr>
          <w:rFonts w:ascii="Calibri" w:eastAsia="Times New Roman" w:hAnsi="Calibri" w:cs="Calibri"/>
          <w:color w:val="000000"/>
          <w:sz w:val="22"/>
          <w:szCs w:val="22"/>
        </w:rPr>
        <w:t>as exacerbated by conflict and climate.</w:t>
      </w:r>
    </w:p>
    <w:p w14:paraId="254148DD" w14:textId="1A3357D5" w:rsidR="0070080F" w:rsidRDefault="00BF4816" w:rsidP="00BF4816">
      <w:pPr>
        <w:spacing w:before="240" w:after="240"/>
        <w:jc w:val="both"/>
        <w:rPr>
          <w:rFonts w:ascii="Calibri" w:eastAsia="Times New Roman" w:hAnsi="Calibri" w:cs="Calibri"/>
          <w:color w:val="000000"/>
          <w:sz w:val="22"/>
          <w:szCs w:val="22"/>
        </w:rPr>
      </w:pPr>
      <w:r w:rsidRPr="00BF4816">
        <w:rPr>
          <w:rFonts w:ascii="Calibri" w:eastAsia="Times New Roman" w:hAnsi="Calibri" w:cs="Calibri"/>
          <w:color w:val="000000"/>
          <w:sz w:val="22"/>
          <w:szCs w:val="22"/>
        </w:rPr>
        <w:t xml:space="preserve">To bridge gaps in global response and center vulnerable populations in fragile and conflict-affected contexts, we make five central recommendations for global leaders and institutions in this brief: </w:t>
      </w:r>
    </w:p>
    <w:p w14:paraId="74C7AAD2" w14:textId="3EBD4FBC" w:rsidR="0070080F" w:rsidRPr="0070080F" w:rsidRDefault="00BF4816" w:rsidP="0070080F">
      <w:pPr>
        <w:pStyle w:val="ListParagraph"/>
        <w:numPr>
          <w:ilvl w:val="0"/>
          <w:numId w:val="2"/>
        </w:numPr>
        <w:spacing w:before="240" w:after="240"/>
        <w:contextualSpacing w:val="0"/>
        <w:jc w:val="both"/>
        <w:rPr>
          <w:rFonts w:ascii="Calibri" w:eastAsia="Times New Roman" w:hAnsi="Calibri" w:cs="Calibri"/>
          <w:b/>
          <w:bCs/>
          <w:color w:val="000000"/>
        </w:rPr>
      </w:pPr>
      <w:r w:rsidRPr="0070080F">
        <w:rPr>
          <w:rFonts w:ascii="Calibri" w:eastAsia="Times New Roman" w:hAnsi="Calibri" w:cs="Calibri"/>
          <w:b/>
          <w:bCs/>
          <w:color w:val="000000"/>
        </w:rPr>
        <w:t>Direct more, faster funding to frontline actors</w:t>
      </w:r>
      <w:r w:rsidR="00ED372E">
        <w:rPr>
          <w:rFonts w:ascii="Calibri" w:eastAsia="Times New Roman" w:hAnsi="Calibri" w:cs="Calibri"/>
          <w:b/>
          <w:bCs/>
          <w:color w:val="000000"/>
        </w:rPr>
        <w:t>.</w:t>
      </w:r>
    </w:p>
    <w:p w14:paraId="3A19CA18" w14:textId="7FA8B277" w:rsidR="0070080F" w:rsidRPr="0070080F" w:rsidRDefault="0070080F" w:rsidP="0070080F">
      <w:pPr>
        <w:pStyle w:val="ListParagraph"/>
        <w:numPr>
          <w:ilvl w:val="0"/>
          <w:numId w:val="2"/>
        </w:numPr>
        <w:spacing w:before="240" w:after="240"/>
        <w:contextualSpacing w:val="0"/>
        <w:jc w:val="both"/>
        <w:rPr>
          <w:rFonts w:ascii="Calibri" w:eastAsia="Times New Roman" w:hAnsi="Calibri" w:cs="Calibri"/>
          <w:b/>
          <w:bCs/>
          <w:color w:val="000000"/>
        </w:rPr>
      </w:pPr>
      <w:r w:rsidRPr="00BF4816">
        <w:rPr>
          <w:rFonts w:ascii="Calibri" w:eastAsia="Times New Roman" w:hAnsi="Calibri" w:cs="Calibri"/>
          <w:b/>
          <w:bCs/>
          <w:color w:val="000000"/>
        </w:rPr>
        <w:t>Invest in innovative, evidence-based approaches to address the secondary impacts of the pandemic across livelihoods, food insecurity, education, and ge</w:t>
      </w:r>
      <w:r w:rsidRPr="00BF4816">
        <w:rPr>
          <w:rFonts w:ascii="Calibri" w:eastAsia="Times New Roman" w:hAnsi="Calibri" w:cs="Calibri"/>
          <w:b/>
          <w:bCs/>
          <w:color w:val="000000" w:themeColor="text1"/>
        </w:rPr>
        <w:t xml:space="preserve">nder </w:t>
      </w:r>
      <w:r w:rsidRPr="00BF4816">
        <w:rPr>
          <w:rFonts w:ascii="Calibri" w:eastAsia="Times New Roman" w:hAnsi="Calibri" w:cs="Calibri"/>
          <w:b/>
          <w:bCs/>
          <w:color w:val="000000"/>
        </w:rPr>
        <w:t>equality</w:t>
      </w:r>
      <w:r w:rsidR="00ED372E">
        <w:rPr>
          <w:rFonts w:ascii="Calibri" w:eastAsia="Times New Roman" w:hAnsi="Calibri" w:cs="Calibri"/>
          <w:b/>
          <w:bCs/>
          <w:color w:val="000000"/>
        </w:rPr>
        <w:t>.</w:t>
      </w:r>
    </w:p>
    <w:p w14:paraId="1B252C59" w14:textId="05D370E7" w:rsidR="0070080F" w:rsidRPr="0070080F" w:rsidRDefault="0070080F" w:rsidP="0070080F">
      <w:pPr>
        <w:pStyle w:val="ListParagraph"/>
        <w:numPr>
          <w:ilvl w:val="0"/>
          <w:numId w:val="2"/>
        </w:numPr>
        <w:spacing w:before="240" w:after="240"/>
        <w:contextualSpacing w:val="0"/>
        <w:jc w:val="both"/>
        <w:rPr>
          <w:rFonts w:ascii="Calibri" w:eastAsia="Times New Roman" w:hAnsi="Calibri" w:cs="Calibri"/>
          <w:b/>
          <w:bCs/>
          <w:color w:val="000000"/>
        </w:rPr>
      </w:pPr>
      <w:r w:rsidRPr="00BF4816">
        <w:rPr>
          <w:rFonts w:ascii="Calibri" w:eastAsia="Times New Roman" w:hAnsi="Calibri" w:cs="Calibri"/>
          <w:b/>
          <w:bCs/>
          <w:color w:val="000000"/>
        </w:rPr>
        <w:t>Include displaced populations in national recovery plans</w:t>
      </w:r>
      <w:r w:rsidR="00ED372E">
        <w:rPr>
          <w:rFonts w:ascii="Calibri" w:eastAsia="Times New Roman" w:hAnsi="Calibri" w:cs="Calibri"/>
          <w:b/>
          <w:bCs/>
          <w:color w:val="000000"/>
        </w:rPr>
        <w:t>.</w:t>
      </w:r>
    </w:p>
    <w:p w14:paraId="1A52E1FF" w14:textId="1B9EF02A" w:rsidR="0070080F" w:rsidRPr="0070080F" w:rsidRDefault="0070080F" w:rsidP="0070080F">
      <w:pPr>
        <w:pStyle w:val="ListParagraph"/>
        <w:numPr>
          <w:ilvl w:val="0"/>
          <w:numId w:val="2"/>
        </w:numPr>
        <w:spacing w:before="240" w:after="240"/>
        <w:contextualSpacing w:val="0"/>
        <w:jc w:val="both"/>
        <w:rPr>
          <w:rFonts w:ascii="Calibri" w:eastAsia="Times New Roman" w:hAnsi="Calibri" w:cs="Calibri"/>
          <w:b/>
          <w:bCs/>
          <w:color w:val="000000"/>
        </w:rPr>
      </w:pPr>
      <w:r w:rsidRPr="00BF4816">
        <w:rPr>
          <w:rFonts w:ascii="Calibri" w:eastAsia="Times New Roman" w:hAnsi="Calibri" w:cs="Calibri"/>
          <w:b/>
          <w:bCs/>
          <w:color w:val="000000"/>
        </w:rPr>
        <w:t>Prioritize not only vaccine production, but country preparedness and planning, to ensure countries reach displaced and remote populations</w:t>
      </w:r>
      <w:r w:rsidR="00ED372E">
        <w:rPr>
          <w:rFonts w:ascii="Calibri" w:eastAsia="Times New Roman" w:hAnsi="Calibri" w:cs="Calibri"/>
          <w:b/>
          <w:bCs/>
          <w:color w:val="000000"/>
        </w:rPr>
        <w:t>.</w:t>
      </w:r>
    </w:p>
    <w:p w14:paraId="0715A5D7" w14:textId="3B702F1C" w:rsidR="0070080F" w:rsidRDefault="0070080F" w:rsidP="0070080F">
      <w:pPr>
        <w:pStyle w:val="ListParagraph"/>
        <w:numPr>
          <w:ilvl w:val="0"/>
          <w:numId w:val="2"/>
        </w:numPr>
        <w:spacing w:before="240" w:after="240"/>
        <w:contextualSpacing w:val="0"/>
        <w:jc w:val="both"/>
        <w:rPr>
          <w:rFonts w:ascii="Calibri" w:eastAsia="Times New Roman" w:hAnsi="Calibri" w:cs="Calibri"/>
          <w:b/>
          <w:bCs/>
          <w:color w:val="000000"/>
        </w:rPr>
      </w:pPr>
      <w:r w:rsidRPr="00BF4816">
        <w:rPr>
          <w:rFonts w:ascii="Calibri" w:eastAsia="Times New Roman" w:hAnsi="Calibri" w:cs="Calibri"/>
          <w:b/>
          <w:bCs/>
          <w:color w:val="000000"/>
        </w:rPr>
        <w:t>Reform the humanitarian financing system at large</w:t>
      </w:r>
      <w:r w:rsidR="00ED372E">
        <w:rPr>
          <w:rFonts w:ascii="Calibri" w:eastAsia="Times New Roman" w:hAnsi="Calibri" w:cs="Calibri"/>
          <w:b/>
          <w:bCs/>
          <w:color w:val="000000"/>
        </w:rPr>
        <w:t>.</w:t>
      </w:r>
    </w:p>
    <w:p w14:paraId="0B9C2652" w14:textId="2E62306B" w:rsidR="0070080F" w:rsidRDefault="0070080F" w:rsidP="0070080F">
      <w:pPr>
        <w:spacing w:before="240" w:after="240"/>
        <w:jc w:val="both"/>
        <w:rPr>
          <w:rFonts w:ascii="Calibri" w:eastAsia="Times New Roman" w:hAnsi="Calibri" w:cs="Calibri"/>
          <w:b/>
          <w:bCs/>
          <w:color w:val="000000"/>
        </w:rPr>
      </w:pPr>
    </w:p>
    <w:p w14:paraId="07E835DE" w14:textId="77777777" w:rsidR="00AB1101" w:rsidRDefault="00AB1101" w:rsidP="0070080F">
      <w:pPr>
        <w:spacing w:before="240" w:after="240"/>
        <w:jc w:val="both"/>
        <w:rPr>
          <w:rFonts w:ascii="Calibri" w:eastAsia="Times New Roman" w:hAnsi="Calibri" w:cs="Calibri"/>
          <w:b/>
          <w:bCs/>
          <w:color w:val="000000"/>
        </w:rPr>
      </w:pPr>
    </w:p>
    <w:p w14:paraId="26117528" w14:textId="36525CF8" w:rsidR="00BF4816" w:rsidRPr="00BF4816" w:rsidRDefault="0070080F" w:rsidP="00BF4816">
      <w:pPr>
        <w:jc w:val="both"/>
        <w:rPr>
          <w:rFonts w:ascii="Calibri" w:eastAsia="Times New Roman" w:hAnsi="Calibri" w:cs="Calibri"/>
          <w:color w:val="000000"/>
          <w:sz w:val="26"/>
          <w:szCs w:val="26"/>
        </w:rPr>
      </w:pPr>
      <w:r w:rsidRPr="00DC7C35">
        <w:rPr>
          <w:rFonts w:cstheme="minorHAnsi"/>
          <w:b/>
          <w:bCs/>
          <w:noProof/>
          <w:color w:val="000000" w:themeColor="text1"/>
          <w:sz w:val="22"/>
          <w:szCs w:val="22"/>
          <w:u w:color="FFC000"/>
        </w:rPr>
        <w:lastRenderedPageBreak/>
        <mc:AlternateContent>
          <mc:Choice Requires="wps">
            <w:drawing>
              <wp:anchor distT="45720" distB="45720" distL="114300" distR="114300" simplePos="0" relativeHeight="251671552" behindDoc="1" locked="0" layoutInCell="1" allowOverlap="1" wp14:anchorId="4939DDAF" wp14:editId="006FA07E">
                <wp:simplePos x="0" y="0"/>
                <wp:positionH relativeFrom="margin">
                  <wp:posOffset>2875</wp:posOffset>
                </wp:positionH>
                <wp:positionV relativeFrom="paragraph">
                  <wp:posOffset>-31127</wp:posOffset>
                </wp:positionV>
                <wp:extent cx="4991819" cy="260985"/>
                <wp:effectExtent l="0" t="0" r="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819" cy="260985"/>
                        </a:xfrm>
                        <a:prstGeom prst="rect">
                          <a:avLst/>
                        </a:prstGeom>
                        <a:solidFill>
                          <a:srgbClr val="FFC000"/>
                        </a:solidFill>
                        <a:ln w="9525">
                          <a:noFill/>
                          <a:miter lim="800000"/>
                          <a:headEnd/>
                          <a:tailEnd/>
                        </a:ln>
                      </wps:spPr>
                      <wps:txbx>
                        <w:txbxContent>
                          <w:p w14:paraId="61CA6632" w14:textId="77777777" w:rsidR="0070080F" w:rsidRPr="004C7691" w:rsidRDefault="0070080F" w:rsidP="0070080F">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39DDAF" id="Text Box 7" o:spid="_x0000_s1027" type="#_x0000_t202" style="position:absolute;left:0;text-align:left;margin-left:.25pt;margin-top:-2.45pt;width:393.05pt;height:20.5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" fillcolor="#ffc000" stroked="f">
                <v:textbox>
                  <w:txbxContent>
                    <w:p w14:paraId="61CA6632" w14:textId="77777777" w:rsidR="0070080F" w:rsidRPr="004C7691" w:rsidRDefault="0070080F" w:rsidP="0070080F">
                      <w:pPr>
                        <w:spacing w:line="240" w:lineRule="exact"/>
                        <w:contextualSpacing/>
                        <w:rPr>
                          <w:b/>
                          <w:bCs/>
                          <w:sz w:val="26"/>
                          <w:szCs w:val="26"/>
                        </w:rPr>
                      </w:pPr>
                    </w:p>
                  </w:txbxContent>
                </v:textbox>
                <w10:wrap anchorx="margin"/>
              </v:shape>
            </w:pict>
          </mc:Fallback>
        </mc:AlternateContent>
      </w:r>
      <w:r w:rsidR="00BF4816" w:rsidRPr="00BF4816">
        <w:rPr>
          <w:rFonts w:ascii="Calibri" w:eastAsia="Times New Roman" w:hAnsi="Calibri" w:cs="Calibri"/>
          <w:b/>
          <w:bCs/>
          <w:color w:val="000000"/>
          <w:sz w:val="26"/>
          <w:szCs w:val="26"/>
        </w:rPr>
        <w:t xml:space="preserve">Making </w:t>
      </w:r>
      <w:r w:rsidR="00A64644">
        <w:rPr>
          <w:rFonts w:ascii="Calibri" w:eastAsia="Times New Roman" w:hAnsi="Calibri" w:cs="Calibri"/>
          <w:b/>
          <w:bCs/>
          <w:color w:val="000000"/>
          <w:sz w:val="26"/>
          <w:szCs w:val="26"/>
        </w:rPr>
        <w:t xml:space="preserve">the </w:t>
      </w:r>
      <w:r w:rsidR="00BF4816" w:rsidRPr="00BF4816">
        <w:rPr>
          <w:rFonts w:ascii="Calibri" w:eastAsia="Times New Roman" w:hAnsi="Calibri" w:cs="Calibri"/>
          <w:b/>
          <w:bCs/>
          <w:color w:val="000000"/>
          <w:sz w:val="26"/>
          <w:szCs w:val="26"/>
        </w:rPr>
        <w:t>COVID-19 response more equitable, inclusive, and accessible</w:t>
      </w:r>
    </w:p>
    <w:p w14:paraId="2547F41B" w14:textId="77777777" w:rsidR="00B26873" w:rsidRDefault="00B26873" w:rsidP="00BF4816">
      <w:pPr>
        <w:jc w:val="both"/>
        <w:rPr>
          <w:rFonts w:ascii="Calibri" w:eastAsia="Times New Roman" w:hAnsi="Calibri" w:cs="Calibri"/>
          <w:color w:val="000000"/>
        </w:rPr>
      </w:pPr>
    </w:p>
    <w:p w14:paraId="06C83F86" w14:textId="3FDF25E3" w:rsidR="00BF4816" w:rsidRPr="00BF4816" w:rsidRDefault="00B26873" w:rsidP="00BF4816">
      <w:pPr>
        <w:jc w:val="both"/>
        <w:rPr>
          <w:rFonts w:ascii="Calibri" w:eastAsia="Times New Roman" w:hAnsi="Calibri" w:cs="Calibri"/>
          <w:color w:val="000000"/>
        </w:rPr>
      </w:pPr>
      <w:r>
        <w:rPr>
          <w:rFonts w:ascii="Calibri" w:eastAsia="Times New Roman" w:hAnsi="Calibri" w:cs="Calibri"/>
          <w:noProof/>
          <w:color w:val="000000"/>
          <w:sz w:val="22"/>
          <w:szCs w:val="22"/>
        </w:rPr>
        <w:drawing>
          <wp:anchor distT="0" distB="0" distL="114300" distR="114300" simplePos="0" relativeHeight="251672576" behindDoc="0" locked="0" layoutInCell="1" allowOverlap="1" wp14:anchorId="682C1628" wp14:editId="547CBF0A">
            <wp:simplePos x="0" y="0"/>
            <wp:positionH relativeFrom="column">
              <wp:posOffset>0</wp:posOffset>
            </wp:positionH>
            <wp:positionV relativeFrom="paragraph">
              <wp:posOffset>80010</wp:posOffset>
            </wp:positionV>
            <wp:extent cx="3228975" cy="2152650"/>
            <wp:effectExtent l="0" t="0" r="0" b="6350"/>
            <wp:wrapSquare wrapText="bothSides"/>
            <wp:docPr id="10" name="Picture 10" descr="A group of people sitting out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itting outsid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975" cy="2152650"/>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BF4816" w:rsidRPr="00BF4816">
          <w:rPr>
            <w:rFonts w:ascii="Calibri" w:eastAsia="Times New Roman" w:hAnsi="Calibri" w:cs="Calibri"/>
            <w:color w:val="1155CC"/>
            <w:sz w:val="22"/>
            <w:szCs w:val="22"/>
            <w:u w:val="single"/>
          </w:rPr>
          <w:t>One of the principal barriers</w:t>
        </w:r>
      </w:hyperlink>
      <w:r w:rsidR="00BF4816" w:rsidRPr="00BF4816">
        <w:rPr>
          <w:rFonts w:ascii="Calibri" w:eastAsia="Times New Roman" w:hAnsi="Calibri" w:cs="Calibri"/>
          <w:color w:val="000000"/>
          <w:sz w:val="22"/>
          <w:szCs w:val="22"/>
        </w:rPr>
        <w:t xml:space="preserve"> to ending the pandemic remains access to vaccines. Gaps in access manifest themselves in countries’ responses, as those with widespread access resume a semblance of normalcy, while those with lower supply </w:t>
      </w:r>
      <w:r w:rsidR="00ED372E">
        <w:rPr>
          <w:rFonts w:ascii="Calibri" w:eastAsia="Times New Roman" w:hAnsi="Calibri" w:cs="Calibri"/>
          <w:color w:val="000000"/>
          <w:sz w:val="22"/>
          <w:szCs w:val="22"/>
        </w:rPr>
        <w:t xml:space="preserve">– </w:t>
      </w:r>
      <w:r w:rsidR="00BF4816" w:rsidRPr="00BF4816">
        <w:rPr>
          <w:rFonts w:ascii="Calibri" w:eastAsia="Times New Roman" w:hAnsi="Calibri" w:cs="Calibri"/>
          <w:color w:val="000000"/>
          <w:sz w:val="22"/>
          <w:szCs w:val="22"/>
        </w:rPr>
        <w:t xml:space="preserve">or rather, those with supply but excluding whole swaths of their populations </w:t>
      </w:r>
      <w:r w:rsidR="00ED372E">
        <w:rPr>
          <w:rFonts w:ascii="Calibri" w:eastAsia="Times New Roman" w:hAnsi="Calibri" w:cs="Calibri"/>
          <w:color w:val="000000"/>
          <w:sz w:val="22"/>
          <w:szCs w:val="22"/>
        </w:rPr>
        <w:t xml:space="preserve">– </w:t>
      </w:r>
      <w:r w:rsidR="00BF4816" w:rsidRPr="00BF4816">
        <w:rPr>
          <w:rFonts w:ascii="Calibri" w:eastAsia="Times New Roman" w:hAnsi="Calibri" w:cs="Calibri"/>
          <w:color w:val="000000"/>
          <w:sz w:val="22"/>
          <w:szCs w:val="22"/>
        </w:rPr>
        <w:t>must adapt to a new normal.</w:t>
      </w:r>
    </w:p>
    <w:p w14:paraId="4B39AFCD" w14:textId="7857F1FA" w:rsidR="00BF4816" w:rsidRPr="00BF4816" w:rsidRDefault="00BF4816" w:rsidP="00BF4816">
      <w:pPr>
        <w:rPr>
          <w:rFonts w:ascii="Calibri" w:eastAsia="Times New Roman" w:hAnsi="Calibri" w:cs="Calibri"/>
          <w:color w:val="000000"/>
        </w:rPr>
      </w:pPr>
    </w:p>
    <w:p w14:paraId="7F1A272E" w14:textId="5D38D6F8" w:rsidR="00BF4816" w:rsidRPr="00BF4816" w:rsidRDefault="00390E14" w:rsidP="00BF4816">
      <w:pPr>
        <w:jc w:val="both"/>
        <w:rPr>
          <w:rFonts w:ascii="Calibri" w:eastAsia="Times New Roman" w:hAnsi="Calibri" w:cs="Calibri"/>
          <w:color w:val="000000"/>
        </w:rPr>
      </w:pPr>
      <w:r>
        <w:rPr>
          <w:noProof/>
        </w:rPr>
        <mc:AlternateContent>
          <mc:Choice Requires="wps">
            <w:drawing>
              <wp:anchor distT="0" distB="0" distL="114300" distR="114300" simplePos="0" relativeHeight="251674624" behindDoc="0" locked="0" layoutInCell="1" allowOverlap="1" wp14:anchorId="7BC9FB2A" wp14:editId="225FE229">
                <wp:simplePos x="0" y="0"/>
                <wp:positionH relativeFrom="column">
                  <wp:posOffset>0</wp:posOffset>
                </wp:positionH>
                <wp:positionV relativeFrom="paragraph">
                  <wp:posOffset>1023620</wp:posOffset>
                </wp:positionV>
                <wp:extent cx="3228975" cy="590550"/>
                <wp:effectExtent l="0" t="0" r="0" b="6350"/>
                <wp:wrapSquare wrapText="bothSides"/>
                <wp:docPr id="11" name="Text Box 11"/>
                <wp:cNvGraphicFramePr/>
                <a:graphic xmlns:a="http://schemas.openxmlformats.org/drawingml/2006/main">
                  <a:graphicData uri="http://schemas.microsoft.com/office/word/2010/wordprocessingShape">
                    <wps:wsp>
                      <wps:cNvSpPr txBox="1"/>
                      <wps:spPr>
                        <a:xfrm>
                          <a:off x="0" y="0"/>
                          <a:ext cx="3228975" cy="590550"/>
                        </a:xfrm>
                        <a:prstGeom prst="rect">
                          <a:avLst/>
                        </a:prstGeom>
                        <a:solidFill>
                          <a:prstClr val="white"/>
                        </a:solidFill>
                        <a:ln>
                          <a:noFill/>
                        </a:ln>
                      </wps:spPr>
                      <wps:txbx>
                        <w:txbxContent>
                          <w:p w14:paraId="26DA96AC" w14:textId="36EBD146" w:rsidR="00390E14" w:rsidRPr="008634BF" w:rsidRDefault="00390E14" w:rsidP="00390E14">
                            <w:pPr>
                              <w:pStyle w:val="Caption"/>
                              <w:rPr>
                                <w:rFonts w:ascii="Calibri" w:eastAsia="Times New Roman" w:hAnsi="Calibri" w:cs="Calibri"/>
                                <w:noProof/>
                                <w:color w:val="000000"/>
                                <w:sz w:val="22"/>
                                <w:szCs w:val="22"/>
                              </w:rPr>
                            </w:pPr>
                            <w:r w:rsidRPr="00162586">
                              <w:t xml:space="preserve">The screening process for the COVID-19 vaccine at </w:t>
                            </w:r>
                            <w:proofErr w:type="spellStart"/>
                            <w:r w:rsidRPr="00162586">
                              <w:t>Swiga</w:t>
                            </w:r>
                            <w:proofErr w:type="spellEnd"/>
                            <w:r w:rsidRPr="00162586">
                              <w:t xml:space="preserve"> health </w:t>
                            </w:r>
                            <w:proofErr w:type="spellStart"/>
                            <w:r w:rsidRPr="00162586">
                              <w:t>centre</w:t>
                            </w:r>
                            <w:proofErr w:type="spellEnd"/>
                            <w:r w:rsidRPr="00162586">
                              <w:t xml:space="preserve"> III in Bidi </w:t>
                            </w:r>
                            <w:proofErr w:type="spellStart"/>
                            <w:r w:rsidRPr="00162586">
                              <w:t>Bidi</w:t>
                            </w:r>
                            <w:proofErr w:type="spellEnd"/>
                            <w:r w:rsidRPr="00162586">
                              <w:t xml:space="preserve"> refugee settlement.</w:t>
                            </w:r>
                            <w:r>
                              <w:t xml:space="preserve"> </w:t>
                            </w:r>
                            <w:r w:rsidRPr="00162586">
                              <w:t>Information about the vaccine is shared, medical history is taken, alongside measuring temperatures.</w:t>
                            </w:r>
                            <w:r>
                              <w:t xml:space="preserve"> Photographer: Esther Mbabazi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9FB2A" id="Text Box 11" o:spid="_x0000_s1028" type="#_x0000_t202" style="position:absolute;left:0;text-align:left;margin-left:0;margin-top:80.6pt;width:254.25pt;height:4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" stroked="f">
                <v:textbox inset="0,0,0,0">
                  <w:txbxContent>
                    <w:p w14:paraId="26DA96AC" w14:textId="36EBD146" w:rsidR="00390E14" w:rsidRPr="008634BF" w:rsidRDefault="00390E14" w:rsidP="00390E14">
                      <w:pPr>
                        <w:pStyle w:val="Caption"/>
                        <w:rPr>
                          <w:rFonts w:ascii="Calibri" w:eastAsia="Times New Roman" w:hAnsi="Calibri" w:cs="Calibri"/>
                          <w:noProof/>
                          <w:color w:val="000000"/>
                          <w:sz w:val="22"/>
                          <w:szCs w:val="22"/>
                        </w:rPr>
                      </w:pPr>
                      <w:r w:rsidRPr="00162586">
                        <w:t xml:space="preserve">The screening process for the COVID-19 vaccine at </w:t>
                      </w:r>
                      <w:proofErr w:type="spellStart"/>
                      <w:r w:rsidRPr="00162586">
                        <w:t>Swiga</w:t>
                      </w:r>
                      <w:proofErr w:type="spellEnd"/>
                      <w:r w:rsidRPr="00162586">
                        <w:t xml:space="preserve"> health </w:t>
                      </w:r>
                      <w:proofErr w:type="spellStart"/>
                      <w:r w:rsidRPr="00162586">
                        <w:t>centre</w:t>
                      </w:r>
                      <w:proofErr w:type="spellEnd"/>
                      <w:r w:rsidRPr="00162586">
                        <w:t xml:space="preserve"> III in Bidi </w:t>
                      </w:r>
                      <w:proofErr w:type="spellStart"/>
                      <w:r w:rsidRPr="00162586">
                        <w:t>Bidi</w:t>
                      </w:r>
                      <w:proofErr w:type="spellEnd"/>
                      <w:r w:rsidRPr="00162586">
                        <w:t xml:space="preserve"> refugee settlement.</w:t>
                      </w:r>
                      <w:r>
                        <w:t xml:space="preserve"> </w:t>
                      </w:r>
                      <w:r w:rsidRPr="00162586">
                        <w:t>Information about the vaccine is shared, medical history is taken, alongside measuring temperatures.</w:t>
                      </w:r>
                      <w:r>
                        <w:t xml:space="preserve"> Photographer: Esther Mbabazi</w:t>
                      </w:r>
                    </w:p>
                  </w:txbxContent>
                </v:textbox>
                <w10:wrap type="square"/>
              </v:shape>
            </w:pict>
          </mc:Fallback>
        </mc:AlternateContent>
      </w:r>
      <w:r w:rsidR="00BF4816" w:rsidRPr="00BF4816">
        <w:rPr>
          <w:rFonts w:ascii="Calibri" w:eastAsia="Times New Roman" w:hAnsi="Calibri" w:cs="Calibri"/>
          <w:color w:val="000000"/>
          <w:sz w:val="22"/>
          <w:szCs w:val="22"/>
        </w:rPr>
        <w:t xml:space="preserve">COVAX has created a much-needed humanitarian buffer to increase the accessibility of COVID-19 vaccines to high-risk populations who would not otherwise be able to obtain a vaccine. To date, COVAX has shipped more than 255 million doses to 141 participating countries, excluding the 5 percent of the COVAX Facility’s real-time supply expected to be </w:t>
      </w:r>
      <w:hyperlink r:id="rId12" w:history="1">
        <w:r w:rsidR="00BF4816" w:rsidRPr="00BF4816">
          <w:rPr>
            <w:rFonts w:ascii="Calibri" w:eastAsia="Times New Roman" w:hAnsi="Calibri" w:cs="Calibri"/>
            <w:color w:val="1155CC"/>
            <w:sz w:val="22"/>
            <w:szCs w:val="22"/>
            <w:u w:val="single"/>
          </w:rPr>
          <w:t>allocated</w:t>
        </w:r>
      </w:hyperlink>
      <w:r w:rsidR="00BF4816" w:rsidRPr="00BF4816">
        <w:rPr>
          <w:rFonts w:ascii="Calibri" w:eastAsia="Times New Roman" w:hAnsi="Calibri" w:cs="Calibri"/>
          <w:color w:val="000000"/>
          <w:sz w:val="22"/>
          <w:szCs w:val="22"/>
        </w:rPr>
        <w:t xml:space="preserve"> through the buffer by the end of 2021. Still, there remains a need for greater investment in and planning of vaccine delivery and distribution. In many contexts, local, community-based, and international NGOs are best-placed to deliver vaccines to populations that are hard to reach in conflict-affected areas and/or excluded from government vaccination programs. In some contexts, where the government either cannot reach or does not want to reach certain populations, they are already delivering </w:t>
      </w:r>
      <w:hyperlink r:id="rId13" w:history="1">
        <w:r w:rsidR="00BF4816" w:rsidRPr="00BF4816">
          <w:rPr>
            <w:rFonts w:ascii="Calibri" w:eastAsia="Times New Roman" w:hAnsi="Calibri" w:cs="Calibri"/>
            <w:color w:val="1155CC"/>
            <w:sz w:val="22"/>
            <w:szCs w:val="22"/>
            <w:u w:val="single"/>
          </w:rPr>
          <w:t>75 - 80 percent</w:t>
        </w:r>
      </w:hyperlink>
      <w:r w:rsidR="00BF4816" w:rsidRPr="00BF4816">
        <w:rPr>
          <w:rFonts w:ascii="Calibri" w:eastAsia="Times New Roman" w:hAnsi="Calibri" w:cs="Calibri"/>
          <w:color w:val="000000"/>
          <w:sz w:val="22"/>
          <w:szCs w:val="22"/>
        </w:rPr>
        <w:t xml:space="preserve"> of health services. These organizations have already built rapport and trust with local communities, who may not trust the vaccine itself often due to misinformation flows, international actors, or even their own governments. Underinvestment in technical support for governments to plan distribution and generate demand for the vaccine will prolong the pandemic in these contexts. Frontline responders have the technical expertise to help train health workers and to strengthen supply chains, as well as the relationships needed to build trust and address local concerns driving vaccine hesitancy. </w:t>
      </w:r>
    </w:p>
    <w:p w14:paraId="295E1C81" w14:textId="77777777" w:rsidR="00BF4816" w:rsidRPr="00BF4816" w:rsidRDefault="00BF4816" w:rsidP="00BF4816">
      <w:pPr>
        <w:rPr>
          <w:rFonts w:ascii="Calibri" w:eastAsia="Times New Roman" w:hAnsi="Calibri" w:cs="Calibri"/>
          <w:color w:val="000000"/>
        </w:rPr>
      </w:pPr>
    </w:p>
    <w:p w14:paraId="1A784008" w14:textId="77777777"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 xml:space="preserve">Frontline actors need more and faster direct funding to support their response, but institutional barriers remain. On average, two-thirds of humanitarian funding has gone to UN agencies, which then cascade a portion to implementing partners, and </w:t>
      </w:r>
      <w:hyperlink r:id="rId14" w:history="1">
        <w:r w:rsidRPr="00BF4816">
          <w:rPr>
            <w:rFonts w:ascii="Calibri" w:eastAsia="Times New Roman" w:hAnsi="Calibri" w:cs="Calibri"/>
            <w:color w:val="1155CC"/>
            <w:sz w:val="22"/>
            <w:szCs w:val="22"/>
            <w:u w:val="single"/>
          </w:rPr>
          <w:t>80 percent of funding</w:t>
        </w:r>
      </w:hyperlink>
      <w:r w:rsidRPr="00BF4816">
        <w:rPr>
          <w:rFonts w:ascii="Calibri" w:eastAsia="Times New Roman" w:hAnsi="Calibri" w:cs="Calibri"/>
          <w:color w:val="000000"/>
          <w:sz w:val="22"/>
          <w:szCs w:val="22"/>
        </w:rPr>
        <w:t xml:space="preserve"> for the COVID-19 appeal specifically went to UN agencies. However, only 20 percent went directly to frontline NGOs, and funding often took up to </w:t>
      </w:r>
      <w:hyperlink r:id="rId15" w:history="1">
        <w:r w:rsidRPr="00BF4816">
          <w:rPr>
            <w:rFonts w:ascii="Calibri" w:eastAsia="Times New Roman" w:hAnsi="Calibri" w:cs="Calibri"/>
            <w:color w:val="1155CC"/>
            <w:sz w:val="22"/>
            <w:szCs w:val="22"/>
            <w:u w:val="single"/>
          </w:rPr>
          <w:t>8 months</w:t>
        </w:r>
      </w:hyperlink>
      <w:r w:rsidRPr="00BF4816">
        <w:rPr>
          <w:rFonts w:ascii="Calibri" w:eastAsia="Times New Roman" w:hAnsi="Calibri" w:cs="Calibri"/>
          <w:color w:val="000000"/>
          <w:sz w:val="22"/>
          <w:szCs w:val="22"/>
        </w:rPr>
        <w:t xml:space="preserve"> to reach frontline implementing partners. The increasingly protracted nature of conflict and displacement necessitates longer-term, more flexible - unearmarked - funding, to meet skyrocketing humanitarian need. 22 of 25 Humanitarian Response Plans (HRPs) were for crises lasting five or more years. And while humanitarian need </w:t>
      </w:r>
      <w:hyperlink r:id="rId16" w:history="1">
        <w:r w:rsidRPr="00BF4816">
          <w:rPr>
            <w:rFonts w:ascii="Calibri" w:eastAsia="Times New Roman" w:hAnsi="Calibri" w:cs="Calibri"/>
            <w:color w:val="1155CC"/>
            <w:sz w:val="22"/>
            <w:szCs w:val="22"/>
            <w:u w:val="single"/>
          </w:rPr>
          <w:t>increased</w:t>
        </w:r>
      </w:hyperlink>
      <w:r w:rsidRPr="00BF4816">
        <w:rPr>
          <w:rFonts w:ascii="Calibri" w:eastAsia="Times New Roman" w:hAnsi="Calibri" w:cs="Calibri"/>
          <w:color w:val="000000"/>
          <w:sz w:val="22"/>
          <w:szCs w:val="22"/>
        </w:rPr>
        <w:t xml:space="preserve"> by 88 percent from 2016 to 2020 - from 125.3 million people in need to 235.4 million - humanitarian assistance only increased by 8.3 percent. Most aid to frontline actors comprises one year or less grants, and as a result, local organizations in particular struggle to manage and sustain operations on a short-term funding model. </w:t>
      </w:r>
    </w:p>
    <w:p w14:paraId="123D2B1B" w14:textId="32C31F2B" w:rsidR="00BF4816" w:rsidRPr="00BF4816" w:rsidRDefault="00A64644" w:rsidP="00BF4816">
      <w:pPr>
        <w:rPr>
          <w:rFonts w:ascii="Calibri" w:eastAsia="Times New Roman" w:hAnsi="Calibri" w:cs="Calibri"/>
          <w:color w:val="000000"/>
        </w:rPr>
      </w:pPr>
      <w:r w:rsidRPr="00DC7C35">
        <w:rPr>
          <w:rFonts w:cstheme="minorHAnsi"/>
          <w:b/>
          <w:bCs/>
          <w:noProof/>
          <w:color w:val="000000" w:themeColor="text1"/>
          <w:sz w:val="22"/>
          <w:szCs w:val="22"/>
          <w:u w:color="FFC000"/>
        </w:rPr>
        <mc:AlternateContent>
          <mc:Choice Requires="wps">
            <w:drawing>
              <wp:anchor distT="45720" distB="45720" distL="114300" distR="114300" simplePos="0" relativeHeight="251661312" behindDoc="1" locked="0" layoutInCell="1" allowOverlap="1" wp14:anchorId="5D315876" wp14:editId="6312D54D">
                <wp:simplePos x="0" y="0"/>
                <wp:positionH relativeFrom="margin">
                  <wp:posOffset>2876</wp:posOffset>
                </wp:positionH>
                <wp:positionV relativeFrom="paragraph">
                  <wp:posOffset>148614</wp:posOffset>
                </wp:positionV>
                <wp:extent cx="3094008" cy="260985"/>
                <wp:effectExtent l="0" t="0"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008" cy="260985"/>
                        </a:xfrm>
                        <a:prstGeom prst="rect">
                          <a:avLst/>
                        </a:prstGeom>
                        <a:solidFill>
                          <a:srgbClr val="FFC000"/>
                        </a:solidFill>
                        <a:ln w="9525">
                          <a:noFill/>
                          <a:miter lim="800000"/>
                          <a:headEnd/>
                          <a:tailEnd/>
                        </a:ln>
                      </wps:spPr>
                      <wps:txbx>
                        <w:txbxContent>
                          <w:p w14:paraId="7076AC26" w14:textId="77777777" w:rsidR="00A64644" w:rsidRPr="004C7691" w:rsidRDefault="00A64644" w:rsidP="00A64644">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315876" id="_x0000_s1029" type="#_x0000_t202" style="position:absolute;margin-left:.25pt;margin-top:11.7pt;width:243.6pt;height:20.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" fillcolor="#ffc000" stroked="f">
                <v:textbox>
                  <w:txbxContent>
                    <w:p w14:paraId="7076AC26" w14:textId="77777777" w:rsidR="00A64644" w:rsidRPr="004C7691" w:rsidRDefault="00A64644" w:rsidP="00A64644">
                      <w:pPr>
                        <w:spacing w:line="240" w:lineRule="exact"/>
                        <w:contextualSpacing/>
                        <w:rPr>
                          <w:b/>
                          <w:bCs/>
                          <w:sz w:val="26"/>
                          <w:szCs w:val="26"/>
                        </w:rPr>
                      </w:pPr>
                    </w:p>
                  </w:txbxContent>
                </v:textbox>
                <w10:wrap anchorx="margin"/>
              </v:shape>
            </w:pict>
          </mc:Fallback>
        </mc:AlternateContent>
      </w:r>
    </w:p>
    <w:p w14:paraId="4FAB6720" w14:textId="240A1B39" w:rsidR="00BF4816" w:rsidRPr="00BF4816" w:rsidRDefault="00BF4816" w:rsidP="00BF4816">
      <w:pPr>
        <w:jc w:val="both"/>
        <w:rPr>
          <w:rFonts w:ascii="Calibri" w:eastAsia="Times New Roman" w:hAnsi="Calibri" w:cs="Calibri"/>
          <w:color w:val="000000"/>
          <w:sz w:val="26"/>
          <w:szCs w:val="26"/>
        </w:rPr>
      </w:pPr>
      <w:r w:rsidRPr="00BF4816">
        <w:rPr>
          <w:rFonts w:ascii="Calibri" w:eastAsia="Times New Roman" w:hAnsi="Calibri" w:cs="Calibri"/>
          <w:b/>
          <w:bCs/>
          <w:color w:val="000000"/>
          <w:sz w:val="26"/>
          <w:szCs w:val="26"/>
        </w:rPr>
        <w:t>Scaling up of innovation for scaling of impact</w:t>
      </w:r>
    </w:p>
    <w:p w14:paraId="7DA018ED" w14:textId="77777777"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Greater financial investment alone is not enough; the international community is not adequately addressing the  disproportionate impacts of pandemic, the consequent economic crisis, and spillover effects in fragile, conflict, and displacement settings. </w:t>
      </w:r>
    </w:p>
    <w:p w14:paraId="01E9484B" w14:textId="77777777" w:rsidR="00BF4816" w:rsidRPr="00BF4816" w:rsidRDefault="00BF4816" w:rsidP="00BF4816">
      <w:pPr>
        <w:rPr>
          <w:rFonts w:ascii="Calibri" w:eastAsia="Times New Roman" w:hAnsi="Calibri" w:cs="Calibri"/>
          <w:color w:val="000000"/>
        </w:rPr>
      </w:pPr>
    </w:p>
    <w:p w14:paraId="6D871306" w14:textId="4F340AC2"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 xml:space="preserve">In fragile settings, the indirect effects of the pandemic have often eclipsed its direct health impacts. The COVID-19 pandemic and its economic repercussions, together with climate change and ongoing conflict, have exacerbated a global hunger crisis. In 2020, </w:t>
      </w:r>
      <w:hyperlink r:id="rId17" w:history="1">
        <w:r w:rsidRPr="00BF4816">
          <w:rPr>
            <w:rFonts w:ascii="Calibri" w:eastAsia="Times New Roman" w:hAnsi="Calibri" w:cs="Calibri"/>
            <w:color w:val="1155CC"/>
            <w:sz w:val="22"/>
            <w:szCs w:val="22"/>
            <w:u w:val="single"/>
          </w:rPr>
          <w:t>155 million people</w:t>
        </w:r>
      </w:hyperlink>
      <w:r w:rsidRPr="00BF4816">
        <w:rPr>
          <w:rFonts w:ascii="Calibri" w:eastAsia="Times New Roman" w:hAnsi="Calibri" w:cs="Calibri"/>
          <w:color w:val="000000"/>
          <w:sz w:val="22"/>
          <w:szCs w:val="22"/>
        </w:rPr>
        <w:t xml:space="preserve"> across 55 countries were acutely hungry, representing an increase of 20 million since 2019. </w:t>
      </w:r>
      <w:r w:rsidRPr="00BF4816">
        <w:rPr>
          <w:rFonts w:ascii="Calibri" w:eastAsia="Times New Roman" w:hAnsi="Calibri" w:cs="Calibri"/>
          <w:color w:val="000000"/>
          <w:sz w:val="22"/>
          <w:szCs w:val="22"/>
          <w:shd w:val="clear" w:color="auto" w:fill="FFFFFF"/>
        </w:rPr>
        <w:t xml:space="preserve">Acute malnutrition, the most severe and deadly form of malnutrition, is also increasing; estimates suggest an additional 9.3 million children will become acutely malnourished by 2022 </w:t>
      </w:r>
      <w:hyperlink r:id="rId18" w:history="1">
        <w:r w:rsidRPr="00BF4816">
          <w:rPr>
            <w:rFonts w:ascii="Calibri" w:eastAsia="Times New Roman" w:hAnsi="Calibri" w:cs="Calibri"/>
            <w:color w:val="1155CC"/>
            <w:sz w:val="22"/>
            <w:szCs w:val="22"/>
            <w:u w:val="single"/>
            <w:shd w:val="clear" w:color="auto" w:fill="FFFFFF"/>
          </w:rPr>
          <w:t>because of pandemic-related disruptions</w:t>
        </w:r>
      </w:hyperlink>
      <w:r w:rsidRPr="00BF4816">
        <w:rPr>
          <w:rFonts w:ascii="Calibri" w:eastAsia="Times New Roman" w:hAnsi="Calibri" w:cs="Calibri"/>
          <w:color w:val="000000"/>
          <w:sz w:val="22"/>
          <w:szCs w:val="22"/>
          <w:shd w:val="clear" w:color="auto" w:fill="FFFFFF"/>
        </w:rPr>
        <w:t xml:space="preserve"> in health, food, and economic systems</w:t>
      </w:r>
      <w:r w:rsidRPr="00BF4816">
        <w:rPr>
          <w:rFonts w:ascii="Calibri" w:eastAsia="Times New Roman" w:hAnsi="Calibri" w:cs="Calibri"/>
          <w:color w:val="3C4043"/>
          <w:sz w:val="22"/>
          <w:szCs w:val="22"/>
          <w:shd w:val="clear" w:color="auto" w:fill="FFFFFF"/>
        </w:rPr>
        <w:t xml:space="preserve">. </w:t>
      </w:r>
      <w:r w:rsidRPr="00BF4816">
        <w:rPr>
          <w:rFonts w:ascii="Calibri" w:eastAsia="Times New Roman" w:hAnsi="Calibri" w:cs="Calibri"/>
          <w:color w:val="000000"/>
          <w:sz w:val="22"/>
          <w:szCs w:val="22"/>
        </w:rPr>
        <w:t xml:space="preserve">IRC estimates that an additional </w:t>
      </w:r>
      <w:hyperlink r:id="rId19" w:history="1">
        <w:r w:rsidRPr="00BF4816">
          <w:rPr>
            <w:rFonts w:ascii="Calibri" w:eastAsia="Times New Roman" w:hAnsi="Calibri" w:cs="Calibri"/>
            <w:color w:val="1155CC"/>
            <w:sz w:val="22"/>
            <w:szCs w:val="22"/>
            <w:u w:val="single"/>
          </w:rPr>
          <w:t>35 million</w:t>
        </w:r>
      </w:hyperlink>
      <w:r w:rsidRPr="00BF4816">
        <w:rPr>
          <w:rFonts w:ascii="Calibri" w:eastAsia="Times New Roman" w:hAnsi="Calibri" w:cs="Calibri"/>
          <w:color w:val="000000"/>
          <w:sz w:val="22"/>
          <w:szCs w:val="22"/>
        </w:rPr>
        <w:t xml:space="preserve"> people will be hungry in 2021 as result of </w:t>
      </w:r>
      <w:r w:rsidRPr="00BF4816">
        <w:rPr>
          <w:rFonts w:ascii="Calibri" w:eastAsia="Times New Roman" w:hAnsi="Calibri" w:cs="Calibri"/>
          <w:color w:val="000000"/>
          <w:sz w:val="22"/>
          <w:szCs w:val="22"/>
        </w:rPr>
        <w:lastRenderedPageBreak/>
        <w:t xml:space="preserve">the global economic downturn and its associated spillover effects. And yet, in some cases donor budgets have faced deep cuts </w:t>
      </w:r>
      <w:r w:rsidR="00ED372E">
        <w:rPr>
          <w:rFonts w:ascii="Calibri" w:eastAsia="Times New Roman" w:hAnsi="Calibri" w:cs="Calibri"/>
          <w:color w:val="000000"/>
          <w:sz w:val="22"/>
          <w:szCs w:val="22"/>
        </w:rPr>
        <w:t xml:space="preserve">– </w:t>
      </w:r>
      <w:hyperlink r:id="rId20" w:history="1">
        <w:r w:rsidRPr="00BF4816">
          <w:rPr>
            <w:rFonts w:ascii="Calibri" w:eastAsia="Times New Roman" w:hAnsi="Calibri" w:cs="Calibri"/>
            <w:color w:val="1155CC"/>
            <w:sz w:val="22"/>
            <w:szCs w:val="22"/>
            <w:u w:val="single"/>
          </w:rPr>
          <w:t xml:space="preserve"> of up to 80 percent</w:t>
        </w:r>
      </w:hyperlink>
      <w:r w:rsidR="00ED372E">
        <w:rPr>
          <w:rFonts w:ascii="Calibri" w:eastAsia="Times New Roman" w:hAnsi="Calibri" w:cs="Calibri"/>
          <w:color w:val="000000"/>
          <w:sz w:val="22"/>
          <w:szCs w:val="22"/>
        </w:rPr>
        <w:t xml:space="preserve"> –</w:t>
      </w:r>
      <w:r w:rsidRPr="00BF4816">
        <w:rPr>
          <w:rFonts w:ascii="Calibri" w:eastAsia="Times New Roman" w:hAnsi="Calibri" w:cs="Calibri"/>
          <w:color w:val="000000"/>
          <w:sz w:val="22"/>
          <w:szCs w:val="22"/>
        </w:rPr>
        <w:t xml:space="preserve"> to their malnutrition programming.</w:t>
      </w:r>
    </w:p>
    <w:p w14:paraId="71F1CCB5" w14:textId="575A0307" w:rsidR="00BF4816" w:rsidRPr="00BF4816" w:rsidRDefault="00B26873" w:rsidP="00BF4816">
      <w:pPr>
        <w:rPr>
          <w:rFonts w:ascii="Calibri" w:eastAsia="Times New Roman" w:hAnsi="Calibri" w:cs="Calibri"/>
          <w:color w:val="000000"/>
        </w:rPr>
      </w:pPr>
      <w:r>
        <w:rPr>
          <w:rFonts w:ascii="Calibri" w:eastAsia="Times New Roman" w:hAnsi="Calibri" w:cs="Calibri"/>
          <w:noProof/>
          <w:color w:val="000000"/>
          <w:sz w:val="22"/>
          <w:szCs w:val="22"/>
        </w:rPr>
        <w:drawing>
          <wp:anchor distT="0" distB="0" distL="114300" distR="114300" simplePos="0" relativeHeight="251675648" behindDoc="0" locked="0" layoutInCell="1" allowOverlap="1" wp14:anchorId="51AAF9C1" wp14:editId="762C41D1">
            <wp:simplePos x="0" y="0"/>
            <wp:positionH relativeFrom="column">
              <wp:posOffset>4105275</wp:posOffset>
            </wp:positionH>
            <wp:positionV relativeFrom="paragraph">
              <wp:posOffset>186690</wp:posOffset>
            </wp:positionV>
            <wp:extent cx="2762885" cy="1840865"/>
            <wp:effectExtent l="0" t="0" r="5715" b="635"/>
            <wp:wrapSquare wrapText="bothSides"/>
            <wp:docPr id="12" name="Picture 12" descr="A picture containing person, indoo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person, indoor, roo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62885" cy="1840865"/>
                    </a:xfrm>
                    <a:prstGeom prst="rect">
                      <a:avLst/>
                    </a:prstGeom>
                  </pic:spPr>
                </pic:pic>
              </a:graphicData>
            </a:graphic>
            <wp14:sizeRelH relativeFrom="page">
              <wp14:pctWidth>0</wp14:pctWidth>
            </wp14:sizeRelH>
            <wp14:sizeRelV relativeFrom="page">
              <wp14:pctHeight>0</wp14:pctHeight>
            </wp14:sizeRelV>
          </wp:anchor>
        </w:drawing>
      </w:r>
    </w:p>
    <w:p w14:paraId="64473283" w14:textId="6452CB9C"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 xml:space="preserve">Across these secondary impacts, COVID-19 disproportionately impacted women and girls, </w:t>
      </w:r>
      <w:hyperlink r:id="rId22" w:history="1">
        <w:r w:rsidRPr="00BF4816">
          <w:rPr>
            <w:rFonts w:ascii="Calibri" w:eastAsia="Times New Roman" w:hAnsi="Calibri" w:cs="Calibri"/>
            <w:color w:val="1155CC"/>
            <w:sz w:val="22"/>
            <w:szCs w:val="22"/>
            <w:u w:val="single"/>
          </w:rPr>
          <w:t>disrupting livelihoods</w:t>
        </w:r>
      </w:hyperlink>
      <w:r w:rsidRPr="00BF4816">
        <w:rPr>
          <w:rFonts w:ascii="Calibri" w:eastAsia="Times New Roman" w:hAnsi="Calibri" w:cs="Calibri"/>
          <w:color w:val="000000"/>
          <w:sz w:val="22"/>
          <w:szCs w:val="22"/>
        </w:rPr>
        <w:t xml:space="preserve"> as well as access to gender-based violent (GBV) protection services. COVID-19 has rolled back women’s rights and protections,  IRC estimates that </w:t>
      </w:r>
      <w:hyperlink r:id="rId23" w:history="1">
        <w:r w:rsidRPr="00BF4816">
          <w:rPr>
            <w:rFonts w:ascii="Calibri" w:eastAsia="Times New Roman" w:hAnsi="Calibri" w:cs="Calibri"/>
            <w:color w:val="1155CC"/>
            <w:sz w:val="22"/>
            <w:szCs w:val="22"/>
            <w:u w:val="single"/>
          </w:rPr>
          <w:t>20 million girls</w:t>
        </w:r>
      </w:hyperlink>
      <w:r w:rsidRPr="00BF4816">
        <w:rPr>
          <w:rFonts w:ascii="Calibri" w:eastAsia="Times New Roman" w:hAnsi="Calibri" w:cs="Calibri"/>
          <w:color w:val="000000"/>
          <w:sz w:val="22"/>
          <w:szCs w:val="22"/>
        </w:rPr>
        <w:t xml:space="preserve"> will likely not return to school in 2021, setting back progress on education by decades. In addition, the UNFPA estimates that </w:t>
      </w:r>
      <w:hyperlink r:id="rId24" w:history="1">
        <w:r w:rsidRPr="00BF4816">
          <w:rPr>
            <w:rFonts w:ascii="Calibri" w:eastAsia="Times New Roman" w:hAnsi="Calibri" w:cs="Calibri"/>
            <w:color w:val="1155CC"/>
            <w:sz w:val="22"/>
            <w:szCs w:val="22"/>
            <w:u w:val="single"/>
          </w:rPr>
          <w:t>15 million additional cases</w:t>
        </w:r>
      </w:hyperlink>
      <w:r w:rsidRPr="00BF4816">
        <w:rPr>
          <w:rFonts w:ascii="Calibri" w:eastAsia="Times New Roman" w:hAnsi="Calibri" w:cs="Calibri"/>
          <w:color w:val="000000"/>
          <w:sz w:val="22"/>
          <w:szCs w:val="22"/>
        </w:rPr>
        <w:t xml:space="preserve"> of GBV</w:t>
      </w:r>
      <w:r w:rsidR="002D3099">
        <w:rPr>
          <w:rFonts w:ascii="Calibri" w:eastAsia="Times New Roman" w:hAnsi="Calibri" w:cs="Calibri"/>
          <w:color w:val="000000"/>
          <w:sz w:val="22"/>
          <w:szCs w:val="22"/>
        </w:rPr>
        <w:t xml:space="preserve"> </w:t>
      </w:r>
      <w:r w:rsidRPr="00BF4816">
        <w:rPr>
          <w:rFonts w:ascii="Calibri" w:eastAsia="Times New Roman" w:hAnsi="Calibri" w:cs="Calibri"/>
          <w:color w:val="000000"/>
          <w:sz w:val="22"/>
          <w:szCs w:val="22"/>
        </w:rPr>
        <w:t>will occur for every three months of lockdown due to COVID-19. </w:t>
      </w:r>
    </w:p>
    <w:p w14:paraId="1A69C80C" w14:textId="730EBC4C" w:rsidR="00BF4816" w:rsidRPr="00BF4816" w:rsidRDefault="00BF4816" w:rsidP="00BF4816">
      <w:pPr>
        <w:rPr>
          <w:rFonts w:ascii="Calibri" w:eastAsia="Times New Roman" w:hAnsi="Calibri" w:cs="Calibri"/>
          <w:color w:val="000000"/>
        </w:rPr>
      </w:pPr>
    </w:p>
    <w:p w14:paraId="672C42E2" w14:textId="57B23682" w:rsidR="00BF4816" w:rsidRPr="00BF4816" w:rsidRDefault="00B26873" w:rsidP="00BF4816">
      <w:pPr>
        <w:jc w:val="both"/>
        <w:rPr>
          <w:rFonts w:ascii="Calibri" w:eastAsia="Times New Roman" w:hAnsi="Calibri" w:cs="Calibri"/>
          <w:color w:val="000000"/>
        </w:rPr>
      </w:pPr>
      <w:r>
        <w:rPr>
          <w:noProof/>
        </w:rPr>
        <mc:AlternateContent>
          <mc:Choice Requires="wps">
            <w:drawing>
              <wp:anchor distT="0" distB="0" distL="114300" distR="114300" simplePos="0" relativeHeight="251677696" behindDoc="0" locked="0" layoutInCell="1" allowOverlap="1" wp14:anchorId="106B14E6" wp14:editId="6DCCBCB2">
                <wp:simplePos x="0" y="0"/>
                <wp:positionH relativeFrom="column">
                  <wp:posOffset>4105275</wp:posOffset>
                </wp:positionH>
                <wp:positionV relativeFrom="paragraph">
                  <wp:posOffset>290830</wp:posOffset>
                </wp:positionV>
                <wp:extent cx="2762885" cy="409575"/>
                <wp:effectExtent l="0" t="0" r="5715" b="0"/>
                <wp:wrapSquare wrapText="bothSides"/>
                <wp:docPr id="13" name="Text Box 13"/>
                <wp:cNvGraphicFramePr/>
                <a:graphic xmlns:a="http://schemas.openxmlformats.org/drawingml/2006/main">
                  <a:graphicData uri="http://schemas.microsoft.com/office/word/2010/wordprocessingShape">
                    <wps:wsp>
                      <wps:cNvSpPr txBox="1"/>
                      <wps:spPr>
                        <a:xfrm>
                          <a:off x="0" y="0"/>
                          <a:ext cx="2762885" cy="409575"/>
                        </a:xfrm>
                        <a:prstGeom prst="rect">
                          <a:avLst/>
                        </a:prstGeom>
                        <a:solidFill>
                          <a:prstClr val="white"/>
                        </a:solidFill>
                        <a:ln>
                          <a:noFill/>
                        </a:ln>
                      </wps:spPr>
                      <wps:txbx>
                        <w:txbxContent>
                          <w:p w14:paraId="5385B500" w14:textId="741B25B9" w:rsidR="00B26873" w:rsidRPr="004E6B45" w:rsidRDefault="00B26873" w:rsidP="00B26873">
                            <w:pPr>
                              <w:pStyle w:val="Caption"/>
                              <w:rPr>
                                <w:rFonts w:ascii="Calibri" w:eastAsia="Times New Roman" w:hAnsi="Calibri" w:cs="Calibri"/>
                                <w:noProof/>
                                <w:color w:val="000000"/>
                                <w:sz w:val="22"/>
                                <w:szCs w:val="22"/>
                              </w:rPr>
                            </w:pPr>
                            <w:r w:rsidRPr="00331077">
                              <w:t xml:space="preserve">A healthcare worker in </w:t>
                            </w:r>
                            <w:proofErr w:type="spellStart"/>
                            <w:r w:rsidRPr="00331077">
                              <w:t>Cúcuta</w:t>
                            </w:r>
                            <w:proofErr w:type="spellEnd"/>
                            <w:r w:rsidRPr="00331077">
                              <w:t>, Colombia, signing in a patient at the IRC’s Comprehensive Community Cente</w:t>
                            </w:r>
                            <w:r w:rsidR="00A36FF5">
                              <w:t xml:space="preserve">r. Photographer: </w:t>
                            </w:r>
                            <w:proofErr w:type="spellStart"/>
                            <w:r w:rsidR="00A36FF5">
                              <w:t>Schneyder</w:t>
                            </w:r>
                            <w:proofErr w:type="spellEnd"/>
                            <w:r w:rsidR="00A36FF5">
                              <w:t xml:space="preserve"> Mendoza.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14E6" id="_x0000_t202" coordsize="21600,21600" o:spt="202" path="m,l,21600r21600,l21600,xe">
                <v:stroke joinstyle="miter"/>
                <v:path gradientshapeok="t" o:connecttype="rect"/>
              </v:shapetype>
              <v:shape id="Text Box 13" o:spid="_x0000_s1030" type="#_x0000_t202" style="position:absolute;left:0;text-align:left;margin-left:323.25pt;margin-top:22.9pt;width:217.5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" stroked="f">
                <v:textbox inset="0,0,0,0">
                  <w:txbxContent>
                    <w:p w14:paraId="5385B500" w14:textId="741B25B9" w:rsidR="00B26873" w:rsidRPr="004E6B45" w:rsidRDefault="00B26873" w:rsidP="00B26873">
                      <w:pPr>
                        <w:pStyle w:val="Caption"/>
                        <w:rPr>
                          <w:rFonts w:ascii="Calibri" w:eastAsia="Times New Roman" w:hAnsi="Calibri" w:cs="Calibri"/>
                          <w:noProof/>
                          <w:color w:val="000000"/>
                          <w:sz w:val="22"/>
                          <w:szCs w:val="22"/>
                        </w:rPr>
                      </w:pPr>
                      <w:r w:rsidRPr="00331077">
                        <w:t xml:space="preserve">A healthcare worker in </w:t>
                      </w:r>
                      <w:proofErr w:type="spellStart"/>
                      <w:r w:rsidRPr="00331077">
                        <w:t>Cúcuta</w:t>
                      </w:r>
                      <w:proofErr w:type="spellEnd"/>
                      <w:r w:rsidRPr="00331077">
                        <w:t>, Colombia, signing in a patient at the IRC’s Comprehensive Community Cente</w:t>
                      </w:r>
                      <w:r w:rsidR="00A36FF5">
                        <w:t xml:space="preserve">r. Photographer: </w:t>
                      </w:r>
                      <w:proofErr w:type="spellStart"/>
                      <w:r w:rsidR="00A36FF5">
                        <w:t>Schneyder</w:t>
                      </w:r>
                      <w:proofErr w:type="spellEnd"/>
                      <w:r w:rsidR="00A36FF5">
                        <w:t xml:space="preserve"> Mendoza.</w:t>
                      </w:r>
                    </w:p>
                  </w:txbxContent>
                </v:textbox>
                <w10:wrap type="square"/>
              </v:shape>
            </w:pict>
          </mc:Fallback>
        </mc:AlternateContent>
      </w:r>
      <w:r w:rsidR="00BF4816" w:rsidRPr="00BF4816">
        <w:rPr>
          <w:rFonts w:ascii="Calibri" w:eastAsia="Times New Roman" w:hAnsi="Calibri" w:cs="Calibri"/>
          <w:color w:val="000000"/>
          <w:sz w:val="22"/>
          <w:szCs w:val="22"/>
        </w:rPr>
        <w:t>To address these setbacks, there are four areas where urgent investments to scale innovative, evidence-based solutions are sorely needed: </w:t>
      </w:r>
    </w:p>
    <w:p w14:paraId="280EBFBB" w14:textId="39644B86" w:rsidR="00BF4816" w:rsidRPr="00BF4816" w:rsidRDefault="00BF4816" w:rsidP="00BF4816">
      <w:pPr>
        <w:rPr>
          <w:rFonts w:ascii="Calibri" w:eastAsia="Times New Roman" w:hAnsi="Calibri" w:cs="Calibri"/>
          <w:color w:val="000000"/>
        </w:rPr>
      </w:pPr>
    </w:p>
    <w:p w14:paraId="58DE246D" w14:textId="77777777" w:rsidR="00BF4816" w:rsidRPr="00BF4816" w:rsidRDefault="00BF4816" w:rsidP="00BF4816">
      <w:pPr>
        <w:ind w:left="450" w:hanging="270"/>
        <w:jc w:val="both"/>
        <w:rPr>
          <w:rFonts w:ascii="Calibri" w:eastAsia="Times New Roman" w:hAnsi="Calibri" w:cs="Calibri"/>
          <w:color w:val="000000"/>
        </w:rPr>
      </w:pPr>
      <w:r w:rsidRPr="00BF4816">
        <w:rPr>
          <w:rFonts w:ascii="Calibri" w:eastAsia="Times New Roman" w:hAnsi="Calibri" w:cs="Calibri"/>
          <w:b/>
          <w:bCs/>
          <w:i/>
          <w:iCs/>
          <w:color w:val="000000"/>
          <w:sz w:val="22"/>
          <w:szCs w:val="22"/>
        </w:rPr>
        <w:t>Nutrition</w:t>
      </w:r>
      <w:r w:rsidRPr="00BF4816">
        <w:rPr>
          <w:rFonts w:ascii="Calibri" w:eastAsia="Times New Roman" w:hAnsi="Calibri" w:cs="Calibri"/>
          <w:b/>
          <w:bCs/>
          <w:color w:val="000000"/>
          <w:sz w:val="22"/>
          <w:szCs w:val="22"/>
        </w:rPr>
        <w:t xml:space="preserve">: </w:t>
      </w:r>
      <w:r w:rsidRPr="00BF4816">
        <w:rPr>
          <w:rFonts w:ascii="Calibri" w:eastAsia="Times New Roman" w:hAnsi="Calibri" w:cs="Calibri"/>
          <w:color w:val="000000"/>
          <w:sz w:val="22"/>
          <w:szCs w:val="22"/>
        </w:rPr>
        <w:t xml:space="preserve">Reforming the treatment of acute malnutrition by using a </w:t>
      </w:r>
      <w:hyperlink r:id="rId25" w:history="1">
        <w:r w:rsidRPr="00BF4816">
          <w:rPr>
            <w:rFonts w:ascii="Calibri" w:eastAsia="Times New Roman" w:hAnsi="Calibri" w:cs="Calibri"/>
            <w:color w:val="1155CC"/>
            <w:sz w:val="22"/>
            <w:szCs w:val="22"/>
            <w:u w:val="single"/>
          </w:rPr>
          <w:t>simplified protocol</w:t>
        </w:r>
      </w:hyperlink>
      <w:r w:rsidRPr="00BF4816">
        <w:rPr>
          <w:rFonts w:ascii="Calibri" w:eastAsia="Times New Roman" w:hAnsi="Calibri" w:cs="Calibri"/>
          <w:color w:val="000000"/>
          <w:sz w:val="22"/>
          <w:szCs w:val="22"/>
        </w:rPr>
        <w:t xml:space="preserve"> for the diagnosis and treatment of acute malnutrition, with the help of community health workers, could double malnutrition coverage from 25 percent of children in need to 50 percent. </w:t>
      </w:r>
    </w:p>
    <w:p w14:paraId="5D284BFA" w14:textId="77777777" w:rsidR="00BF4816" w:rsidRPr="00BF4816" w:rsidRDefault="00BF4816" w:rsidP="00BF4816">
      <w:pPr>
        <w:rPr>
          <w:rFonts w:ascii="Calibri" w:eastAsia="Times New Roman" w:hAnsi="Calibri" w:cs="Calibri"/>
          <w:color w:val="000000"/>
        </w:rPr>
      </w:pPr>
    </w:p>
    <w:p w14:paraId="6DF7A29D" w14:textId="77777777" w:rsidR="00BF4816" w:rsidRPr="00BF4816" w:rsidRDefault="00BF4816" w:rsidP="00BF4816">
      <w:pPr>
        <w:ind w:left="450" w:hanging="270"/>
        <w:jc w:val="both"/>
        <w:rPr>
          <w:rFonts w:ascii="Calibri" w:eastAsia="Times New Roman" w:hAnsi="Calibri" w:cs="Calibri"/>
          <w:color w:val="000000"/>
        </w:rPr>
      </w:pPr>
      <w:r w:rsidRPr="00BF4816">
        <w:rPr>
          <w:rFonts w:ascii="Calibri" w:eastAsia="Times New Roman" w:hAnsi="Calibri" w:cs="Calibri"/>
          <w:b/>
          <w:bCs/>
          <w:i/>
          <w:iCs/>
          <w:color w:val="000000"/>
          <w:sz w:val="22"/>
          <w:szCs w:val="22"/>
        </w:rPr>
        <w:t>Early Childhood Development (ECD) and Education</w:t>
      </w:r>
      <w:r w:rsidRPr="00BF4816">
        <w:rPr>
          <w:rFonts w:ascii="Calibri" w:eastAsia="Times New Roman" w:hAnsi="Calibri" w:cs="Calibri"/>
          <w:b/>
          <w:bCs/>
          <w:color w:val="000000"/>
          <w:sz w:val="22"/>
          <w:szCs w:val="22"/>
        </w:rPr>
        <w:t xml:space="preserve">: </w:t>
      </w:r>
      <w:r w:rsidRPr="00BF4816">
        <w:rPr>
          <w:rFonts w:ascii="Calibri" w:eastAsia="Times New Roman" w:hAnsi="Calibri" w:cs="Calibri"/>
          <w:color w:val="000000"/>
          <w:sz w:val="22"/>
          <w:szCs w:val="22"/>
        </w:rPr>
        <w:t xml:space="preserve">Novel programs like IRC’s </w:t>
      </w:r>
      <w:hyperlink r:id="rId26" w:history="1">
        <w:proofErr w:type="spellStart"/>
        <w:r w:rsidRPr="00BF4816">
          <w:rPr>
            <w:rFonts w:ascii="Calibri" w:eastAsia="Times New Roman" w:hAnsi="Calibri" w:cs="Calibri"/>
            <w:color w:val="1155CC"/>
            <w:sz w:val="22"/>
            <w:szCs w:val="22"/>
            <w:u w:val="single"/>
          </w:rPr>
          <w:t>Ahlan</w:t>
        </w:r>
        <w:proofErr w:type="spellEnd"/>
        <w:r w:rsidRPr="00BF4816">
          <w:rPr>
            <w:rFonts w:ascii="Calibri" w:eastAsia="Times New Roman" w:hAnsi="Calibri" w:cs="Calibri"/>
            <w:color w:val="1155CC"/>
            <w:sz w:val="22"/>
            <w:szCs w:val="22"/>
            <w:u w:val="single"/>
          </w:rPr>
          <w:t xml:space="preserve"> </w:t>
        </w:r>
        <w:proofErr w:type="spellStart"/>
        <w:r w:rsidRPr="00BF4816">
          <w:rPr>
            <w:rFonts w:ascii="Calibri" w:eastAsia="Times New Roman" w:hAnsi="Calibri" w:cs="Calibri"/>
            <w:color w:val="1155CC"/>
            <w:sz w:val="22"/>
            <w:szCs w:val="22"/>
            <w:u w:val="single"/>
          </w:rPr>
          <w:t>Simsim</w:t>
        </w:r>
        <w:proofErr w:type="spellEnd"/>
      </w:hyperlink>
      <w:r w:rsidRPr="00BF4816">
        <w:rPr>
          <w:rFonts w:ascii="Calibri" w:eastAsia="Times New Roman" w:hAnsi="Calibri" w:cs="Calibri"/>
          <w:color w:val="000000"/>
          <w:sz w:val="22"/>
          <w:szCs w:val="22"/>
        </w:rPr>
        <w:t xml:space="preserve"> program and </w:t>
      </w:r>
      <w:hyperlink r:id="rId27" w:history="1">
        <w:proofErr w:type="spellStart"/>
        <w:r w:rsidRPr="00BF4816">
          <w:rPr>
            <w:rFonts w:ascii="Calibri" w:eastAsia="Times New Roman" w:hAnsi="Calibri" w:cs="Calibri"/>
            <w:color w:val="1155CC"/>
            <w:sz w:val="22"/>
            <w:szCs w:val="22"/>
            <w:u w:val="single"/>
          </w:rPr>
          <w:t>PlayMatters</w:t>
        </w:r>
        <w:proofErr w:type="spellEnd"/>
      </w:hyperlink>
      <w:r w:rsidRPr="00BF4816">
        <w:rPr>
          <w:rFonts w:ascii="Calibri" w:eastAsia="Times New Roman" w:hAnsi="Calibri" w:cs="Calibri"/>
          <w:color w:val="000000"/>
          <w:sz w:val="22"/>
          <w:szCs w:val="22"/>
        </w:rPr>
        <w:t xml:space="preserve"> initiative offer context-specific ways to bring ECD and education to children and caregivers in remote learning environments through formal and informal, low-tech and no-tech means, and can help close the learning gap for children who are out of school.</w:t>
      </w:r>
    </w:p>
    <w:p w14:paraId="50265759" w14:textId="77777777" w:rsidR="00BF4816" w:rsidRPr="00BF4816" w:rsidRDefault="00BF4816" w:rsidP="00BF4816">
      <w:pPr>
        <w:rPr>
          <w:rFonts w:ascii="Calibri" w:eastAsia="Times New Roman" w:hAnsi="Calibri" w:cs="Calibri"/>
          <w:color w:val="000000"/>
        </w:rPr>
      </w:pPr>
    </w:p>
    <w:p w14:paraId="69F1C3FA" w14:textId="77777777" w:rsidR="00BF4816" w:rsidRPr="00BF4816" w:rsidRDefault="00BF4816" w:rsidP="00BF4816">
      <w:pPr>
        <w:ind w:left="450" w:hanging="270"/>
        <w:jc w:val="both"/>
        <w:rPr>
          <w:rFonts w:ascii="Calibri" w:eastAsia="Times New Roman" w:hAnsi="Calibri" w:cs="Calibri"/>
          <w:color w:val="000000"/>
        </w:rPr>
      </w:pPr>
      <w:r w:rsidRPr="00BF4816">
        <w:rPr>
          <w:rFonts w:ascii="Calibri" w:eastAsia="Times New Roman" w:hAnsi="Calibri" w:cs="Calibri"/>
          <w:b/>
          <w:bCs/>
          <w:i/>
          <w:iCs/>
          <w:color w:val="000000"/>
          <w:sz w:val="22"/>
          <w:szCs w:val="22"/>
        </w:rPr>
        <w:t>Cash</w:t>
      </w:r>
      <w:r w:rsidRPr="00BF4816">
        <w:rPr>
          <w:rFonts w:ascii="Calibri" w:eastAsia="Times New Roman" w:hAnsi="Calibri" w:cs="Calibri"/>
          <w:b/>
          <w:bCs/>
          <w:color w:val="000000"/>
          <w:sz w:val="22"/>
          <w:szCs w:val="22"/>
        </w:rPr>
        <w:t xml:space="preserve">: </w:t>
      </w:r>
      <w:r w:rsidRPr="00BF4816">
        <w:rPr>
          <w:rFonts w:ascii="Calibri" w:eastAsia="Times New Roman" w:hAnsi="Calibri" w:cs="Calibri"/>
          <w:color w:val="000000"/>
          <w:sz w:val="22"/>
          <w:szCs w:val="22"/>
        </w:rPr>
        <w:t xml:space="preserve">Humanitarian cash transfers are a proven and effective way to support food security and basic needs, while also improving local economies. IRC has </w:t>
      </w:r>
      <w:hyperlink r:id="rId28" w:history="1">
        <w:r w:rsidRPr="00BF4816">
          <w:rPr>
            <w:rFonts w:ascii="Calibri" w:eastAsia="Times New Roman" w:hAnsi="Calibri" w:cs="Calibri"/>
            <w:color w:val="1155CC"/>
            <w:sz w:val="22"/>
            <w:szCs w:val="22"/>
            <w:u w:val="single"/>
          </w:rPr>
          <w:t>shown</w:t>
        </w:r>
      </w:hyperlink>
      <w:r w:rsidRPr="00BF4816">
        <w:rPr>
          <w:rFonts w:ascii="Calibri" w:eastAsia="Times New Roman" w:hAnsi="Calibri" w:cs="Calibri"/>
          <w:color w:val="000000"/>
          <w:sz w:val="22"/>
          <w:szCs w:val="22"/>
        </w:rPr>
        <w:t xml:space="preserve"> that for every $1 spent on cash assistance, another $2 can be generated for the local economy. Digital financial services, such as </w:t>
      </w:r>
      <w:hyperlink r:id="rId29" w:history="1">
        <w:r w:rsidRPr="00BF4816">
          <w:rPr>
            <w:rFonts w:ascii="Calibri" w:eastAsia="Times New Roman" w:hAnsi="Calibri" w:cs="Calibri"/>
            <w:color w:val="1155CC"/>
            <w:sz w:val="22"/>
            <w:szCs w:val="22"/>
            <w:u w:val="single"/>
          </w:rPr>
          <w:t>mobile money</w:t>
        </w:r>
      </w:hyperlink>
      <w:r w:rsidRPr="00BF4816">
        <w:rPr>
          <w:rFonts w:ascii="Calibri" w:eastAsia="Times New Roman" w:hAnsi="Calibri" w:cs="Calibri"/>
          <w:color w:val="000000"/>
          <w:sz w:val="22"/>
          <w:szCs w:val="22"/>
        </w:rPr>
        <w:t xml:space="preserve"> and banking can also help people save, transfer, and receive money.</w:t>
      </w:r>
    </w:p>
    <w:p w14:paraId="7AF83511" w14:textId="77777777" w:rsidR="00BF4816" w:rsidRPr="00BF4816" w:rsidRDefault="00BF4816" w:rsidP="00BF4816">
      <w:pPr>
        <w:rPr>
          <w:rFonts w:ascii="Calibri" w:eastAsia="Times New Roman" w:hAnsi="Calibri" w:cs="Calibri"/>
          <w:color w:val="000000"/>
        </w:rPr>
      </w:pPr>
    </w:p>
    <w:p w14:paraId="1F18D8EB" w14:textId="68628EB3" w:rsidR="00BF4816" w:rsidRPr="00BF4816" w:rsidRDefault="00BF4816" w:rsidP="00BF4816">
      <w:pPr>
        <w:ind w:left="450" w:hanging="270"/>
        <w:jc w:val="both"/>
        <w:rPr>
          <w:rFonts w:ascii="Calibri" w:eastAsia="Times New Roman" w:hAnsi="Calibri" w:cs="Calibri"/>
          <w:color w:val="000000"/>
        </w:rPr>
      </w:pPr>
      <w:r w:rsidRPr="00BF4816">
        <w:rPr>
          <w:rFonts w:ascii="Calibri" w:eastAsia="Times New Roman" w:hAnsi="Calibri" w:cs="Calibri"/>
          <w:b/>
          <w:bCs/>
          <w:i/>
          <w:iCs/>
          <w:color w:val="000000"/>
          <w:sz w:val="22"/>
          <w:szCs w:val="22"/>
        </w:rPr>
        <w:t>Gender-based</w:t>
      </w:r>
      <w:r w:rsidR="00520DA2">
        <w:rPr>
          <w:rFonts w:ascii="Calibri" w:eastAsia="Times New Roman" w:hAnsi="Calibri" w:cs="Calibri"/>
          <w:b/>
          <w:bCs/>
          <w:i/>
          <w:iCs/>
          <w:color w:val="000000"/>
          <w:sz w:val="22"/>
          <w:szCs w:val="22"/>
        </w:rPr>
        <w:t xml:space="preserve"> </w:t>
      </w:r>
      <w:r w:rsidRPr="00BF4816">
        <w:rPr>
          <w:rFonts w:ascii="Calibri" w:eastAsia="Times New Roman" w:hAnsi="Calibri" w:cs="Calibri"/>
          <w:b/>
          <w:bCs/>
          <w:i/>
          <w:iCs/>
          <w:color w:val="000000"/>
          <w:sz w:val="22"/>
          <w:szCs w:val="22"/>
        </w:rPr>
        <w:t>Violence</w:t>
      </w:r>
      <w:r w:rsidR="00520DA2">
        <w:rPr>
          <w:rFonts w:ascii="Calibri" w:eastAsia="Times New Roman" w:hAnsi="Calibri" w:cs="Calibri"/>
          <w:b/>
          <w:bCs/>
          <w:i/>
          <w:iCs/>
          <w:color w:val="000000"/>
          <w:sz w:val="22"/>
          <w:szCs w:val="22"/>
        </w:rPr>
        <w:t xml:space="preserve"> (GBV)</w:t>
      </w:r>
      <w:r w:rsidRPr="00BF4816">
        <w:rPr>
          <w:rFonts w:ascii="Calibri" w:eastAsia="Times New Roman" w:hAnsi="Calibri" w:cs="Calibri"/>
          <w:b/>
          <w:bCs/>
          <w:color w:val="000000"/>
          <w:sz w:val="22"/>
          <w:szCs w:val="22"/>
        </w:rPr>
        <w:t xml:space="preserve">: </w:t>
      </w:r>
      <w:r w:rsidRPr="00BF4816">
        <w:rPr>
          <w:rFonts w:ascii="Calibri" w:eastAsia="Times New Roman" w:hAnsi="Calibri" w:cs="Calibri"/>
          <w:color w:val="000000"/>
          <w:sz w:val="22"/>
          <w:szCs w:val="22"/>
        </w:rPr>
        <w:t xml:space="preserve">Industry-standard GBV programming and risk mitigation efforts, including common-sense measures such as adequate lighting and locks on latrines, and basic safeguarding measures are critical to the safety of women and girls. GBV services such as Safe Spaces and Dignity Kits can be </w:t>
      </w:r>
      <w:hyperlink r:id="rId30" w:history="1">
        <w:r w:rsidRPr="00BF4816">
          <w:rPr>
            <w:rFonts w:ascii="Calibri" w:eastAsia="Times New Roman" w:hAnsi="Calibri" w:cs="Calibri"/>
            <w:color w:val="1155CC"/>
            <w:sz w:val="22"/>
            <w:szCs w:val="22"/>
            <w:u w:val="single"/>
          </w:rPr>
          <w:t>adapted</w:t>
        </w:r>
      </w:hyperlink>
      <w:r w:rsidRPr="00BF4816">
        <w:rPr>
          <w:rFonts w:ascii="Calibri" w:eastAsia="Times New Roman" w:hAnsi="Calibri" w:cs="Calibri"/>
          <w:color w:val="000000"/>
          <w:sz w:val="22"/>
          <w:szCs w:val="22"/>
        </w:rPr>
        <w:t xml:space="preserve"> to comply with social distancing measures.</w:t>
      </w:r>
    </w:p>
    <w:p w14:paraId="17468012" w14:textId="69032A46" w:rsidR="00BF4816" w:rsidRPr="00BF4816" w:rsidRDefault="00A64644" w:rsidP="00BF4816">
      <w:pPr>
        <w:rPr>
          <w:rFonts w:ascii="Calibri" w:eastAsia="Times New Roman" w:hAnsi="Calibri" w:cs="Calibri"/>
          <w:color w:val="000000"/>
        </w:rPr>
      </w:pPr>
      <w:r w:rsidRPr="00DC7C35">
        <w:rPr>
          <w:rFonts w:cstheme="minorHAnsi"/>
          <w:b/>
          <w:bCs/>
          <w:noProof/>
          <w:color w:val="000000" w:themeColor="text1"/>
          <w:sz w:val="22"/>
          <w:szCs w:val="22"/>
          <w:u w:color="FFC000"/>
        </w:rPr>
        <mc:AlternateContent>
          <mc:Choice Requires="wps">
            <w:drawing>
              <wp:anchor distT="45720" distB="45720" distL="114300" distR="114300" simplePos="0" relativeHeight="251663360" behindDoc="1" locked="0" layoutInCell="1" allowOverlap="1" wp14:anchorId="24A5913B" wp14:editId="7887FD1E">
                <wp:simplePos x="0" y="0"/>
                <wp:positionH relativeFrom="margin">
                  <wp:posOffset>2540</wp:posOffset>
                </wp:positionH>
                <wp:positionV relativeFrom="paragraph">
                  <wp:posOffset>145415</wp:posOffset>
                </wp:positionV>
                <wp:extent cx="2697193" cy="2609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193" cy="260985"/>
                        </a:xfrm>
                        <a:prstGeom prst="rect">
                          <a:avLst/>
                        </a:prstGeom>
                        <a:solidFill>
                          <a:srgbClr val="FFC000"/>
                        </a:solidFill>
                        <a:ln w="9525">
                          <a:noFill/>
                          <a:miter lim="800000"/>
                          <a:headEnd/>
                          <a:tailEnd/>
                        </a:ln>
                      </wps:spPr>
                      <wps:txbx>
                        <w:txbxContent>
                          <w:p w14:paraId="4D2B09F1" w14:textId="77777777" w:rsidR="00A64644" w:rsidRPr="004C7691" w:rsidRDefault="00A64644" w:rsidP="00A64644">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A5913B" id="_x0000_t202" coordsize="21600,21600" o:spt="202" path="m,l,21600r21600,l21600,xe">
                <v:stroke joinstyle="miter"/>
                <v:path gradientshapeok="t" o:connecttype="rect"/>
              </v:shapetype>
              <v:shape id="_x0000_s1031" type="#_x0000_t202" style="position:absolute;margin-left:.2pt;margin-top:11.45pt;width:212.4pt;height:20.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" fillcolor="#ffc000" stroked="f">
                <v:textbox>
                  <w:txbxContent>
                    <w:p w14:paraId="4D2B09F1" w14:textId="77777777" w:rsidR="00A64644" w:rsidRPr="004C7691" w:rsidRDefault="00A64644" w:rsidP="00A64644">
                      <w:pPr>
                        <w:spacing w:line="240" w:lineRule="exact"/>
                        <w:contextualSpacing/>
                        <w:rPr>
                          <w:b/>
                          <w:bCs/>
                          <w:sz w:val="26"/>
                          <w:szCs w:val="26"/>
                        </w:rPr>
                      </w:pPr>
                    </w:p>
                  </w:txbxContent>
                </v:textbox>
                <w10:wrap anchorx="margin"/>
              </v:shape>
            </w:pict>
          </mc:Fallback>
        </mc:AlternateContent>
      </w:r>
    </w:p>
    <w:p w14:paraId="06ABFE12" w14:textId="20E414EA" w:rsidR="00BF4816" w:rsidRPr="00BF4816" w:rsidRDefault="00BF4816" w:rsidP="00BF4816">
      <w:pPr>
        <w:jc w:val="both"/>
        <w:rPr>
          <w:rFonts w:ascii="Calibri" w:eastAsia="Times New Roman" w:hAnsi="Calibri" w:cs="Calibri"/>
          <w:color w:val="000000"/>
          <w:sz w:val="26"/>
          <w:szCs w:val="26"/>
        </w:rPr>
      </w:pPr>
      <w:r w:rsidRPr="00BF4816">
        <w:rPr>
          <w:rFonts w:ascii="Calibri" w:eastAsia="Times New Roman" w:hAnsi="Calibri" w:cs="Calibri"/>
          <w:b/>
          <w:bCs/>
          <w:color w:val="000000"/>
          <w:sz w:val="26"/>
          <w:szCs w:val="26"/>
        </w:rPr>
        <w:t>Greater inclusion for maximum impact</w:t>
      </w:r>
    </w:p>
    <w:p w14:paraId="0F3EAF9D" w14:textId="77777777"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 xml:space="preserve">Marginalized populations affected by crisis and displacement face specific challenges in accessing services to mitigate the health and socio-economic impacts of COVID-19, including vaccines and dedicated social protection measures. However, social protection systems are modest in the low- and middle-income countries that host the majority of the world’s displaced populations, and where these systems do exist, </w:t>
      </w:r>
      <w:hyperlink r:id="rId31" w:history="1">
        <w:r w:rsidRPr="00BF4816">
          <w:rPr>
            <w:rFonts w:ascii="Calibri" w:eastAsia="Times New Roman" w:hAnsi="Calibri" w:cs="Calibri"/>
            <w:color w:val="1155CC"/>
            <w:sz w:val="22"/>
            <w:szCs w:val="22"/>
            <w:u w:val="single"/>
          </w:rPr>
          <w:t>refugees are often excluded</w:t>
        </w:r>
      </w:hyperlink>
      <w:r w:rsidRPr="00BF4816">
        <w:rPr>
          <w:rFonts w:ascii="Calibri" w:eastAsia="Times New Roman" w:hAnsi="Calibri" w:cs="Calibri"/>
          <w:color w:val="000000"/>
          <w:sz w:val="22"/>
          <w:szCs w:val="22"/>
        </w:rPr>
        <w:t xml:space="preserve"> because they remain outside the formal economy or face other practical or regulatory barriers. Analysis conducted prior to the pandemic found that of countries with UNHCR operations, </w:t>
      </w:r>
      <w:hyperlink r:id="rId32" w:history="1">
        <w:r w:rsidRPr="00BF4816">
          <w:rPr>
            <w:rFonts w:ascii="Calibri" w:eastAsia="Times New Roman" w:hAnsi="Calibri" w:cs="Calibri"/>
            <w:color w:val="1155CC"/>
            <w:sz w:val="22"/>
            <w:szCs w:val="22"/>
            <w:u w:val="single"/>
          </w:rPr>
          <w:t>only 10 percent included refugees</w:t>
        </w:r>
      </w:hyperlink>
      <w:r w:rsidRPr="00BF4816">
        <w:rPr>
          <w:rFonts w:ascii="Calibri" w:eastAsia="Times New Roman" w:hAnsi="Calibri" w:cs="Calibri"/>
          <w:color w:val="000000"/>
          <w:sz w:val="22"/>
          <w:szCs w:val="22"/>
        </w:rPr>
        <w:t xml:space="preserve"> in national or local development plans and just </w:t>
      </w:r>
      <w:hyperlink r:id="rId33" w:history="1">
        <w:r w:rsidRPr="00BF4816">
          <w:rPr>
            <w:rFonts w:ascii="Calibri" w:eastAsia="Times New Roman" w:hAnsi="Calibri" w:cs="Calibri"/>
            <w:color w:val="1155CC"/>
            <w:sz w:val="22"/>
            <w:szCs w:val="22"/>
            <w:u w:val="single"/>
          </w:rPr>
          <w:t>50 percent included refugees</w:t>
        </w:r>
      </w:hyperlink>
      <w:r w:rsidRPr="00BF4816">
        <w:rPr>
          <w:rFonts w:ascii="Calibri" w:eastAsia="Times New Roman" w:hAnsi="Calibri" w:cs="Calibri"/>
          <w:color w:val="000000"/>
          <w:sz w:val="22"/>
          <w:szCs w:val="22"/>
        </w:rPr>
        <w:t xml:space="preserve"> in national healthcare systems. This has extended to the exclusion of these populations from national health and economic responses to COVID-19. According to the WHO, </w:t>
      </w:r>
      <w:hyperlink r:id="rId34" w:history="1">
        <w:r w:rsidRPr="00BF4816">
          <w:rPr>
            <w:rFonts w:ascii="Calibri" w:eastAsia="Times New Roman" w:hAnsi="Calibri" w:cs="Calibri"/>
            <w:color w:val="1155CC"/>
            <w:sz w:val="22"/>
            <w:szCs w:val="22"/>
            <w:u w:val="single"/>
          </w:rPr>
          <w:t>61 percent of national vaccination plans</w:t>
        </w:r>
      </w:hyperlink>
      <w:r w:rsidRPr="00BF4816">
        <w:rPr>
          <w:rFonts w:ascii="Calibri" w:eastAsia="Times New Roman" w:hAnsi="Calibri" w:cs="Calibri"/>
          <w:color w:val="000000"/>
          <w:sz w:val="22"/>
          <w:szCs w:val="22"/>
        </w:rPr>
        <w:t xml:space="preserve"> do not include refugees and asylum seekers. And even in cases where they are included and vaccines are available, national administration plans prioritize national populations or there are </w:t>
      </w:r>
      <w:hyperlink r:id="rId35" w:history="1">
        <w:r w:rsidRPr="00BF4816">
          <w:rPr>
            <w:rFonts w:ascii="Calibri" w:eastAsia="Times New Roman" w:hAnsi="Calibri" w:cs="Calibri"/>
            <w:color w:val="1155CC"/>
            <w:sz w:val="22"/>
            <w:szCs w:val="22"/>
            <w:u w:val="single"/>
          </w:rPr>
          <w:t>other barriers</w:t>
        </w:r>
      </w:hyperlink>
      <w:r w:rsidRPr="00BF4816">
        <w:rPr>
          <w:rFonts w:ascii="Calibri" w:eastAsia="Times New Roman" w:hAnsi="Calibri" w:cs="Calibri"/>
          <w:color w:val="000000"/>
          <w:sz w:val="22"/>
          <w:szCs w:val="22"/>
        </w:rPr>
        <w:t>, such as the need for identification documents or a lack of trusted information about the vaccines, that prevent refugees from getting vaccinated. </w:t>
      </w:r>
    </w:p>
    <w:p w14:paraId="75D1D741" w14:textId="0E3BD872" w:rsidR="00B26873" w:rsidRPr="00B26873" w:rsidRDefault="00BF4816" w:rsidP="00B26873">
      <w:pPr>
        <w:spacing w:before="240" w:after="240"/>
        <w:jc w:val="both"/>
        <w:rPr>
          <w:rFonts w:ascii="Calibri" w:eastAsia="Times New Roman" w:hAnsi="Calibri" w:cs="Calibri"/>
          <w:color w:val="000000"/>
        </w:rPr>
      </w:pPr>
      <w:r w:rsidRPr="00BF4816">
        <w:rPr>
          <w:rFonts w:ascii="Calibri" w:eastAsia="Times New Roman" w:hAnsi="Calibri" w:cs="Calibri"/>
          <w:color w:val="000000"/>
          <w:sz w:val="22"/>
          <w:szCs w:val="22"/>
        </w:rPr>
        <w:t xml:space="preserve">Including displaced populations in national COVID-19 socio-economic response and vaccine plans is not only critical for ensuring equitable access to health for all, regardless of documentation or status, but also for global and national health security. There are tangible protection risks associated with the exclusion of refugees from these plans. There are health </w:t>
      </w:r>
      <w:r w:rsidRPr="00BF4816">
        <w:rPr>
          <w:rFonts w:ascii="Calibri" w:eastAsia="Times New Roman" w:hAnsi="Calibri" w:cs="Calibri"/>
          <w:color w:val="000000"/>
          <w:sz w:val="22"/>
          <w:szCs w:val="22"/>
        </w:rPr>
        <w:lastRenderedPageBreak/>
        <w:t>consequences, such as the possibility of more variants spreading. There are economic impacts, such as collapsed local markets when people cannot safely and freely move and go to work. And there are social repercussions, such as children unable to safely attend school.</w:t>
      </w:r>
    </w:p>
    <w:p w14:paraId="2B386AC5" w14:textId="7EB7206E" w:rsidR="00BF4816" w:rsidRPr="00A64644" w:rsidRDefault="00945B2F" w:rsidP="00BF4816">
      <w:pPr>
        <w:jc w:val="both"/>
        <w:rPr>
          <w:rFonts w:ascii="Calibri" w:eastAsia="Times New Roman" w:hAnsi="Calibri" w:cs="Calibri"/>
          <w:b/>
          <w:bCs/>
          <w:color w:val="000000"/>
          <w:sz w:val="36"/>
          <w:szCs w:val="36"/>
        </w:rPr>
      </w:pPr>
      <w:r w:rsidRPr="00A64644">
        <w:rPr>
          <w:rFonts w:cstheme="minorHAnsi"/>
          <w:b/>
          <w:bCs/>
          <w:noProof/>
          <w:color w:val="000000" w:themeColor="text1"/>
          <w:sz w:val="26"/>
          <w:szCs w:val="26"/>
          <w:u w:color="FFC000"/>
        </w:rPr>
        <mc:AlternateContent>
          <mc:Choice Requires="wps">
            <w:drawing>
              <wp:anchor distT="45720" distB="45720" distL="114300" distR="114300" simplePos="0" relativeHeight="251681792" behindDoc="1" locked="0" layoutInCell="1" allowOverlap="1" wp14:anchorId="526407B5" wp14:editId="35559D16">
                <wp:simplePos x="0" y="0"/>
                <wp:positionH relativeFrom="margin">
                  <wp:posOffset>0</wp:posOffset>
                </wp:positionH>
                <wp:positionV relativeFrom="paragraph">
                  <wp:posOffset>30480</wp:posOffset>
                </wp:positionV>
                <wp:extent cx="1828800" cy="372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2110"/>
                        </a:xfrm>
                        <a:prstGeom prst="rect">
                          <a:avLst/>
                        </a:prstGeom>
                        <a:solidFill>
                          <a:srgbClr val="FFC000"/>
                        </a:solidFill>
                        <a:ln w="9525">
                          <a:noFill/>
                          <a:miter lim="800000"/>
                          <a:headEnd/>
                          <a:tailEnd/>
                        </a:ln>
                      </wps:spPr>
                      <wps:txbx>
                        <w:txbxContent>
                          <w:p w14:paraId="77986D27" w14:textId="77777777" w:rsidR="00945B2F" w:rsidRPr="004C7691" w:rsidRDefault="00945B2F" w:rsidP="00945B2F">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6407B5" id="_x0000_s1032" type="#_x0000_t202" style="position:absolute;left:0;text-align:left;margin-left:0;margin-top:2.4pt;width:2in;height:29.3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" fillcolor="#ffc000" stroked="f">
                <v:textbox>
                  <w:txbxContent>
                    <w:p w14:paraId="77986D27" w14:textId="77777777" w:rsidR="00945B2F" w:rsidRPr="004C7691" w:rsidRDefault="00945B2F" w:rsidP="00945B2F">
                      <w:pPr>
                        <w:spacing w:line="240" w:lineRule="exact"/>
                        <w:contextualSpacing/>
                        <w:rPr>
                          <w:b/>
                          <w:bCs/>
                          <w:sz w:val="26"/>
                          <w:szCs w:val="26"/>
                        </w:rPr>
                      </w:pPr>
                    </w:p>
                  </w:txbxContent>
                </v:textbox>
                <w10:wrap anchorx="margin"/>
              </v:shape>
            </w:pict>
          </mc:Fallback>
        </mc:AlternateContent>
      </w:r>
      <w:r w:rsidR="0070080F" w:rsidRPr="00DC7C35">
        <w:rPr>
          <w:rFonts w:cstheme="minorHAnsi"/>
          <w:b/>
          <w:bCs/>
          <w:noProof/>
          <w:color w:val="000000" w:themeColor="text1"/>
          <w:sz w:val="36"/>
          <w:szCs w:val="36"/>
          <w:u w:color="FFC000"/>
        </w:rPr>
        <mc:AlternateContent>
          <mc:Choice Requires="wps">
            <w:drawing>
              <wp:anchor distT="45720" distB="45720" distL="114300" distR="114300" simplePos="0" relativeHeight="251665408" behindDoc="0" locked="0" layoutInCell="1" allowOverlap="1" wp14:anchorId="3EA60938" wp14:editId="64126B18">
                <wp:simplePos x="0" y="0"/>
                <wp:positionH relativeFrom="margin">
                  <wp:posOffset>4445</wp:posOffset>
                </wp:positionH>
                <wp:positionV relativeFrom="paragraph">
                  <wp:posOffset>349885</wp:posOffset>
                </wp:positionV>
                <wp:extent cx="6880225" cy="54610"/>
                <wp:effectExtent l="0" t="0" r="3175"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54610"/>
                        </a:xfrm>
                        <a:prstGeom prst="rect">
                          <a:avLst/>
                        </a:prstGeom>
                        <a:solidFill>
                          <a:srgbClr val="FFC000"/>
                        </a:solidFill>
                        <a:ln w="9525">
                          <a:noFill/>
                          <a:miter lim="800000"/>
                          <a:headEnd/>
                          <a:tailEnd/>
                        </a:ln>
                      </wps:spPr>
                      <wps:txbx>
                        <w:txbxContent>
                          <w:p w14:paraId="68BFD269" w14:textId="77777777" w:rsidR="00A64644" w:rsidRDefault="00A64644" w:rsidP="00A646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0938" id="Text Box 48" o:spid="_x0000_s1032" type="#_x0000_t202" style="position:absolute;left:0;text-align:left;margin-left:.35pt;margin-top:27.55pt;width:541.75pt;height:4.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" fillcolor="#ffc000" stroked="f">
                <v:textbox>
                  <w:txbxContent>
                    <w:p w14:paraId="68BFD269" w14:textId="77777777" w:rsidR="00A64644" w:rsidRDefault="00A64644" w:rsidP="00A64644"/>
                  </w:txbxContent>
                </v:textbox>
                <w10:wrap type="square" anchorx="margin"/>
              </v:shape>
            </w:pict>
          </mc:Fallback>
        </mc:AlternateContent>
      </w:r>
      <w:r w:rsidR="00BF4816" w:rsidRPr="00BF4816">
        <w:rPr>
          <w:rFonts w:ascii="Calibri" w:eastAsia="Times New Roman" w:hAnsi="Calibri" w:cs="Calibri"/>
          <w:b/>
          <w:bCs/>
          <w:color w:val="000000"/>
          <w:sz w:val="36"/>
          <w:szCs w:val="36"/>
        </w:rPr>
        <w:t>Recommendations</w:t>
      </w:r>
    </w:p>
    <w:p w14:paraId="2E64C17D" w14:textId="77777777" w:rsidR="00BF4816" w:rsidRPr="00BF4816" w:rsidRDefault="00BF4816" w:rsidP="00BF4816">
      <w:pPr>
        <w:jc w:val="both"/>
        <w:rPr>
          <w:rFonts w:ascii="Calibri" w:eastAsia="Times New Roman" w:hAnsi="Calibri" w:cs="Calibri"/>
          <w:color w:val="000000"/>
        </w:rPr>
      </w:pPr>
      <w:r w:rsidRPr="00BF4816">
        <w:rPr>
          <w:rFonts w:ascii="Calibri" w:eastAsia="Times New Roman" w:hAnsi="Calibri" w:cs="Calibri"/>
          <w:color w:val="000000"/>
          <w:sz w:val="22"/>
          <w:szCs w:val="22"/>
        </w:rPr>
        <w:t>There is an urgent need for global leaders to unite behind a shared strategy to drive a more inclusive, equitable COVID-19 response to bring an end to COVID’s cycle of destruction. Expanding vaccine access and strengthening health systems are two critically needed approaches to bring the pandemic to an end. But the reality of fragile and conflict-affected countries requires specialized, additional support. Global leaders must prioritize support to such contexts as a critical and primary component of global efforts to respond to the pandemic and take the steps needed to address the multifaceted challenges presented by the pandemic in conflict and fragile settings.</w:t>
      </w:r>
    </w:p>
    <w:p w14:paraId="6A5F9B8B" w14:textId="2F67AC16" w:rsidR="00BF4816" w:rsidRPr="00BF4816" w:rsidRDefault="00A64644" w:rsidP="00BF4816">
      <w:pPr>
        <w:rPr>
          <w:rFonts w:ascii="Calibri" w:eastAsia="Times New Roman" w:hAnsi="Calibri" w:cs="Calibri"/>
          <w:color w:val="000000"/>
        </w:rPr>
      </w:pPr>
      <w:r w:rsidRPr="00A64644">
        <w:rPr>
          <w:rFonts w:cstheme="minorHAnsi"/>
          <w:b/>
          <w:bCs/>
          <w:noProof/>
          <w:color w:val="000000" w:themeColor="text1"/>
          <w:sz w:val="26"/>
          <w:szCs w:val="26"/>
          <w:u w:color="FFC000"/>
        </w:rPr>
        <mc:AlternateContent>
          <mc:Choice Requires="wps">
            <w:drawing>
              <wp:anchor distT="45720" distB="45720" distL="114300" distR="114300" simplePos="0" relativeHeight="251667456" behindDoc="1" locked="0" layoutInCell="1" allowOverlap="1" wp14:anchorId="2401C1FC" wp14:editId="70CD2E7F">
                <wp:simplePos x="0" y="0"/>
                <wp:positionH relativeFrom="margin">
                  <wp:posOffset>2875</wp:posOffset>
                </wp:positionH>
                <wp:positionV relativeFrom="paragraph">
                  <wp:posOffset>145559</wp:posOffset>
                </wp:positionV>
                <wp:extent cx="6234023" cy="260985"/>
                <wp:effectExtent l="0" t="0" r="190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023" cy="260985"/>
                        </a:xfrm>
                        <a:prstGeom prst="rect">
                          <a:avLst/>
                        </a:prstGeom>
                        <a:solidFill>
                          <a:srgbClr val="FFC000"/>
                        </a:solidFill>
                        <a:ln w="9525">
                          <a:noFill/>
                          <a:miter lim="800000"/>
                          <a:headEnd/>
                          <a:tailEnd/>
                        </a:ln>
                      </wps:spPr>
                      <wps:txbx>
                        <w:txbxContent>
                          <w:p w14:paraId="052090F4" w14:textId="77777777" w:rsidR="00A64644" w:rsidRPr="004C7691" w:rsidRDefault="00A64644" w:rsidP="00A64644">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01C1FC" id="_x0000_s1033" type="#_x0000_t202" style="position:absolute;margin-left:.25pt;margin-top:11.45pt;width:490.85pt;height:20.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" fillcolor="#ffc000" stroked="f">
                <v:textbox>
                  <w:txbxContent>
                    <w:p w14:paraId="052090F4" w14:textId="77777777" w:rsidR="00A64644" w:rsidRPr="004C7691" w:rsidRDefault="00A64644" w:rsidP="00A64644">
                      <w:pPr>
                        <w:spacing w:line="240" w:lineRule="exact"/>
                        <w:contextualSpacing/>
                        <w:rPr>
                          <w:b/>
                          <w:bCs/>
                          <w:sz w:val="26"/>
                          <w:szCs w:val="26"/>
                        </w:rPr>
                      </w:pPr>
                    </w:p>
                  </w:txbxContent>
                </v:textbox>
                <w10:wrap anchorx="margin"/>
              </v:shape>
            </w:pict>
          </mc:Fallback>
        </mc:AlternateContent>
      </w:r>
    </w:p>
    <w:p w14:paraId="70DF1A1B" w14:textId="56B5259E" w:rsidR="00BF4816" w:rsidRPr="00986A5B" w:rsidRDefault="00BF4816" w:rsidP="00BF4816">
      <w:pPr>
        <w:jc w:val="both"/>
        <w:rPr>
          <w:rFonts w:ascii="Calibri" w:eastAsia="Times New Roman" w:hAnsi="Calibri" w:cs="Calibri"/>
          <w:b/>
          <w:bCs/>
          <w:i/>
          <w:iCs/>
          <w:color w:val="000000"/>
          <w:sz w:val="26"/>
          <w:szCs w:val="26"/>
        </w:rPr>
      </w:pPr>
      <w:r w:rsidRPr="00BF4816">
        <w:rPr>
          <w:rFonts w:ascii="Calibri" w:eastAsia="Times New Roman" w:hAnsi="Calibri" w:cs="Calibri"/>
          <w:b/>
          <w:bCs/>
          <w:i/>
          <w:iCs/>
          <w:color w:val="000000"/>
          <w:sz w:val="26"/>
          <w:szCs w:val="26"/>
        </w:rPr>
        <w:t>Global leaders, policymakers, international institutions, and humanitarian officials should:</w:t>
      </w:r>
    </w:p>
    <w:p w14:paraId="7E70F40A" w14:textId="77777777" w:rsidR="00986A5B" w:rsidRPr="00BF4816" w:rsidRDefault="00986A5B" w:rsidP="00BF4816">
      <w:pPr>
        <w:jc w:val="both"/>
        <w:rPr>
          <w:rFonts w:ascii="Calibri" w:eastAsia="Times New Roman" w:hAnsi="Calibri" w:cs="Calibri"/>
          <w:color w:val="000000"/>
          <w:sz w:val="26"/>
          <w:szCs w:val="26"/>
        </w:rPr>
      </w:pPr>
    </w:p>
    <w:p w14:paraId="39F96C41" w14:textId="2BA6D5F3" w:rsidR="00BF4816" w:rsidRDefault="00BF4816" w:rsidP="00BF4816">
      <w:pPr>
        <w:numPr>
          <w:ilvl w:val="0"/>
          <w:numId w:val="1"/>
        </w:numPr>
        <w:jc w:val="both"/>
        <w:textAlignment w:val="baseline"/>
        <w:rPr>
          <w:rFonts w:ascii="Calibri" w:eastAsia="Times New Roman" w:hAnsi="Calibri" w:cs="Calibri"/>
          <w:color w:val="000000"/>
          <w:sz w:val="22"/>
          <w:szCs w:val="22"/>
        </w:rPr>
      </w:pPr>
      <w:r w:rsidRPr="00AB1101">
        <w:rPr>
          <w:rFonts w:ascii="Calibri" w:eastAsia="Times New Roman" w:hAnsi="Calibri" w:cs="Calibri"/>
          <w:color w:val="000000"/>
          <w:sz w:val="22"/>
          <w:szCs w:val="22"/>
        </w:rPr>
        <w:t xml:space="preserve">Direct </w:t>
      </w:r>
      <w:r w:rsidRPr="00BF4816">
        <w:rPr>
          <w:rFonts w:ascii="Calibri" w:eastAsia="Times New Roman" w:hAnsi="Calibri" w:cs="Calibri"/>
          <w:b/>
          <w:bCs/>
          <w:color w:val="000000"/>
          <w:sz w:val="22"/>
          <w:szCs w:val="22"/>
        </w:rPr>
        <w:t>more funding and resources directly to international, national, and local NGOs</w:t>
      </w:r>
      <w:r w:rsidRPr="00BF4816">
        <w:rPr>
          <w:rFonts w:ascii="Calibri" w:eastAsia="Times New Roman" w:hAnsi="Calibri" w:cs="Calibri"/>
          <w:color w:val="000000"/>
          <w:sz w:val="22"/>
          <w:szCs w:val="22"/>
        </w:rPr>
        <w:t xml:space="preserve"> that are best-placed to support inclusive and effective vaccine delivery and mitigate vaccine hesitancy when governments often cannot and address indirect impacts of the virus in communities. </w:t>
      </w:r>
    </w:p>
    <w:p w14:paraId="3A6A880B" w14:textId="77777777" w:rsidR="00A64644" w:rsidRPr="00BF4816" w:rsidRDefault="00A64644" w:rsidP="00A64644">
      <w:pPr>
        <w:ind w:left="720"/>
        <w:jc w:val="both"/>
        <w:textAlignment w:val="baseline"/>
        <w:rPr>
          <w:rFonts w:ascii="Calibri" w:eastAsia="Times New Roman" w:hAnsi="Calibri" w:cs="Calibri"/>
          <w:color w:val="000000"/>
          <w:sz w:val="22"/>
          <w:szCs w:val="22"/>
        </w:rPr>
      </w:pPr>
    </w:p>
    <w:p w14:paraId="30BAC990" w14:textId="2B7BD276" w:rsidR="00BF4816" w:rsidRPr="00BF4816" w:rsidRDefault="00BF4816" w:rsidP="00BF4816">
      <w:pPr>
        <w:numPr>
          <w:ilvl w:val="0"/>
          <w:numId w:val="1"/>
        </w:numPr>
        <w:jc w:val="both"/>
        <w:textAlignment w:val="baseline"/>
        <w:rPr>
          <w:rFonts w:ascii="Calibri" w:eastAsia="Times New Roman" w:hAnsi="Calibri" w:cs="Calibri"/>
          <w:color w:val="000000"/>
          <w:sz w:val="22"/>
          <w:szCs w:val="22"/>
        </w:rPr>
      </w:pPr>
      <w:r w:rsidRPr="00AB1101">
        <w:rPr>
          <w:rFonts w:ascii="Calibri" w:eastAsia="Times New Roman" w:hAnsi="Calibri" w:cs="Calibri"/>
          <w:color w:val="000000"/>
          <w:sz w:val="22"/>
          <w:szCs w:val="22"/>
        </w:rPr>
        <w:t>Prioritize the</w:t>
      </w:r>
      <w:r w:rsidRPr="00BF4816">
        <w:rPr>
          <w:rFonts w:ascii="Calibri" w:eastAsia="Times New Roman" w:hAnsi="Calibri" w:cs="Calibri"/>
          <w:b/>
          <w:bCs/>
          <w:color w:val="000000"/>
          <w:sz w:val="22"/>
          <w:szCs w:val="22"/>
        </w:rPr>
        <w:t xml:space="preserve"> funding and scaling up of innovative, evidence-based approaches to address the socio-economic impacts of COVID-19 on livelihoods and economic development, nutrition and food security, education, gender equity and Gender-Based Violence (GBV)</w:t>
      </w:r>
      <w:r w:rsidRPr="00BF4816">
        <w:rPr>
          <w:rFonts w:ascii="Calibri" w:eastAsia="Times New Roman" w:hAnsi="Calibri" w:cs="Calibri"/>
          <w:color w:val="000000"/>
          <w:sz w:val="22"/>
          <w:szCs w:val="22"/>
        </w:rPr>
        <w:t>, which can achieve greater reach and impact in fragile and refugee contexts</w:t>
      </w:r>
      <w:r w:rsidR="00AB1101">
        <w:rPr>
          <w:rFonts w:ascii="Calibri" w:eastAsia="Times New Roman" w:hAnsi="Calibri" w:cs="Calibri"/>
          <w:color w:val="000000"/>
          <w:sz w:val="22"/>
          <w:szCs w:val="22"/>
        </w:rPr>
        <w:t>.</w:t>
      </w:r>
    </w:p>
    <w:p w14:paraId="08D36BE3" w14:textId="3CB9AC1D" w:rsidR="00BF4816" w:rsidRPr="00BF4816" w:rsidRDefault="00AB1101" w:rsidP="00BF4816">
      <w:pPr>
        <w:numPr>
          <w:ilvl w:val="1"/>
          <w:numId w:val="1"/>
        </w:numPr>
        <w:jc w:val="both"/>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Invest</w:t>
      </w:r>
      <w:r w:rsidR="00BF4816" w:rsidRPr="00BF4816">
        <w:rPr>
          <w:rFonts w:ascii="Calibri" w:eastAsia="Times New Roman" w:hAnsi="Calibri" w:cs="Calibri"/>
          <w:color w:val="000000"/>
          <w:sz w:val="22"/>
          <w:szCs w:val="22"/>
        </w:rPr>
        <w:t xml:space="preserve"> in and </w:t>
      </w:r>
      <w:r>
        <w:rPr>
          <w:rFonts w:ascii="Calibri" w:eastAsia="Times New Roman" w:hAnsi="Calibri" w:cs="Calibri"/>
          <w:color w:val="000000"/>
          <w:sz w:val="22"/>
          <w:szCs w:val="22"/>
        </w:rPr>
        <w:t>support</w:t>
      </w:r>
      <w:r w:rsidR="00BF4816" w:rsidRPr="00BF4816">
        <w:rPr>
          <w:rFonts w:ascii="Calibri" w:eastAsia="Times New Roman" w:hAnsi="Calibri" w:cs="Calibri"/>
          <w:color w:val="000000"/>
          <w:sz w:val="22"/>
          <w:szCs w:val="22"/>
        </w:rPr>
        <w:t xml:space="preserve"> UNICEF and their partners to expand a simplified approach for diagnosing and treating acute malnutrition through community health workers;</w:t>
      </w:r>
    </w:p>
    <w:p w14:paraId="31DE9D63" w14:textId="21B4A81C" w:rsidR="00BF4816" w:rsidRPr="00BF4816" w:rsidRDefault="00AB1101" w:rsidP="00BF4816">
      <w:pPr>
        <w:numPr>
          <w:ilvl w:val="1"/>
          <w:numId w:val="1"/>
        </w:numPr>
        <w:jc w:val="both"/>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Tailor</w:t>
      </w:r>
      <w:r w:rsidR="00BF4816" w:rsidRPr="00BF4816">
        <w:rPr>
          <w:rFonts w:ascii="Calibri" w:eastAsia="Times New Roman" w:hAnsi="Calibri" w:cs="Calibri"/>
          <w:color w:val="000000"/>
          <w:sz w:val="22"/>
          <w:szCs w:val="22"/>
        </w:rPr>
        <w:t xml:space="preserve"> non</w:t>
      </w:r>
      <w:r>
        <w:rPr>
          <w:rFonts w:ascii="Calibri" w:eastAsia="Times New Roman" w:hAnsi="Calibri" w:cs="Calibri"/>
          <w:color w:val="000000"/>
          <w:sz w:val="22"/>
          <w:szCs w:val="22"/>
        </w:rPr>
        <w:t>-</w:t>
      </w:r>
      <w:r w:rsidR="00BF4816" w:rsidRPr="00BF4816">
        <w:rPr>
          <w:rFonts w:ascii="Calibri" w:eastAsia="Times New Roman" w:hAnsi="Calibri" w:cs="Calibri"/>
          <w:color w:val="000000"/>
          <w:sz w:val="22"/>
          <w:szCs w:val="22"/>
        </w:rPr>
        <w:t>formal early childhood and education programs to different remote learning environments and access to digital tools;</w:t>
      </w:r>
    </w:p>
    <w:p w14:paraId="4448A21A" w14:textId="182F419C" w:rsidR="00BF4816" w:rsidRPr="00BF4816" w:rsidRDefault="00AB1101" w:rsidP="00BF4816">
      <w:pPr>
        <w:numPr>
          <w:ilvl w:val="1"/>
          <w:numId w:val="1"/>
        </w:numPr>
        <w:jc w:val="both"/>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Adopt</w:t>
      </w:r>
      <w:r w:rsidR="00BF4816" w:rsidRPr="00BF4816">
        <w:rPr>
          <w:rFonts w:ascii="Calibri" w:eastAsia="Times New Roman" w:hAnsi="Calibri" w:cs="Calibri"/>
          <w:color w:val="000000"/>
          <w:sz w:val="22"/>
          <w:szCs w:val="22"/>
        </w:rPr>
        <w:t xml:space="preserve"> a cash</w:t>
      </w:r>
      <w:r>
        <w:rPr>
          <w:rFonts w:ascii="Calibri" w:eastAsia="Times New Roman" w:hAnsi="Calibri" w:cs="Calibri"/>
          <w:color w:val="000000"/>
          <w:sz w:val="22"/>
          <w:szCs w:val="22"/>
        </w:rPr>
        <w:t>-</w:t>
      </w:r>
      <w:r w:rsidR="00BF4816" w:rsidRPr="00BF4816">
        <w:rPr>
          <w:rFonts w:ascii="Calibri" w:eastAsia="Times New Roman" w:hAnsi="Calibri" w:cs="Calibri"/>
          <w:color w:val="000000"/>
          <w:sz w:val="22"/>
          <w:szCs w:val="22"/>
        </w:rPr>
        <w:t xml:space="preserve">first approach and </w:t>
      </w:r>
      <w:r>
        <w:rPr>
          <w:rFonts w:ascii="Calibri" w:eastAsia="Times New Roman" w:hAnsi="Calibri" w:cs="Calibri"/>
          <w:color w:val="000000"/>
          <w:sz w:val="22"/>
          <w:szCs w:val="22"/>
        </w:rPr>
        <w:t>leverage the</w:t>
      </w:r>
      <w:r w:rsidR="00BF4816" w:rsidRPr="00BF4816">
        <w:rPr>
          <w:rFonts w:ascii="Calibri" w:eastAsia="Times New Roman" w:hAnsi="Calibri" w:cs="Calibri"/>
          <w:color w:val="000000"/>
          <w:sz w:val="22"/>
          <w:szCs w:val="22"/>
        </w:rPr>
        <w:t xml:space="preserve"> existing capacity and expertise of humanitarian organizations to deliver humanitarian cash transfers, such as through the Collaborative Cash Delivery network;</w:t>
      </w:r>
    </w:p>
    <w:p w14:paraId="317F8FB2" w14:textId="581A7063" w:rsidR="00BF4816" w:rsidRDefault="00AB1101" w:rsidP="00BF4816">
      <w:pPr>
        <w:numPr>
          <w:ilvl w:val="1"/>
          <w:numId w:val="1"/>
        </w:numPr>
        <w:jc w:val="both"/>
        <w:textAlignment w:val="baseline"/>
        <w:rPr>
          <w:rFonts w:ascii="Calibri" w:eastAsia="Times New Roman" w:hAnsi="Calibri" w:cs="Calibri"/>
          <w:color w:val="000000"/>
          <w:sz w:val="22"/>
          <w:szCs w:val="22"/>
        </w:rPr>
      </w:pPr>
      <w:r>
        <w:rPr>
          <w:rFonts w:ascii="Calibri" w:eastAsia="Times New Roman" w:hAnsi="Calibri" w:cs="Calibri"/>
          <w:color w:val="000000"/>
          <w:sz w:val="22"/>
          <w:szCs w:val="22"/>
        </w:rPr>
        <w:t>Prioritize</w:t>
      </w:r>
      <w:r w:rsidR="00BF4816" w:rsidRPr="00BF4816">
        <w:rPr>
          <w:rFonts w:ascii="Calibri" w:eastAsia="Times New Roman" w:hAnsi="Calibri" w:cs="Calibri"/>
          <w:color w:val="000000"/>
          <w:sz w:val="22"/>
          <w:szCs w:val="22"/>
        </w:rPr>
        <w:t xml:space="preserve"> GBV prevention and response programs as lifesaving and </w:t>
      </w:r>
      <w:r>
        <w:rPr>
          <w:rFonts w:ascii="Calibri" w:eastAsia="Times New Roman" w:hAnsi="Calibri" w:cs="Calibri"/>
          <w:color w:val="000000"/>
          <w:sz w:val="22"/>
          <w:szCs w:val="22"/>
        </w:rPr>
        <w:t>fund</w:t>
      </w:r>
      <w:r w:rsidR="00BF4816" w:rsidRPr="00BF4816">
        <w:rPr>
          <w:rFonts w:ascii="Calibri" w:eastAsia="Times New Roman" w:hAnsi="Calibri" w:cs="Calibri"/>
          <w:color w:val="000000"/>
          <w:sz w:val="22"/>
          <w:szCs w:val="22"/>
        </w:rPr>
        <w:t xml:space="preserve"> local women-led organizations so they are able to safely deliver essential services, ensure women and girls are driving the design and delivery of crisis response, and thus promote gender-inclusive humanitarian response and peacebuilding.</w:t>
      </w:r>
    </w:p>
    <w:p w14:paraId="60BF7214" w14:textId="77777777" w:rsidR="00A64644" w:rsidRPr="00BF4816" w:rsidRDefault="00A64644" w:rsidP="00A64644">
      <w:pPr>
        <w:ind w:left="1440"/>
        <w:jc w:val="both"/>
        <w:textAlignment w:val="baseline"/>
        <w:rPr>
          <w:rFonts w:ascii="Calibri" w:eastAsia="Times New Roman" w:hAnsi="Calibri" w:cs="Calibri"/>
          <w:color w:val="000000"/>
          <w:sz w:val="22"/>
          <w:szCs w:val="22"/>
        </w:rPr>
      </w:pPr>
    </w:p>
    <w:p w14:paraId="05B867C0" w14:textId="2B884C3F" w:rsidR="00BF4816" w:rsidRDefault="00BF4816" w:rsidP="00BF4816">
      <w:pPr>
        <w:numPr>
          <w:ilvl w:val="0"/>
          <w:numId w:val="1"/>
        </w:numPr>
        <w:jc w:val="both"/>
        <w:textAlignment w:val="baseline"/>
        <w:rPr>
          <w:rFonts w:ascii="Calibri" w:eastAsia="Times New Roman" w:hAnsi="Calibri" w:cs="Calibri"/>
          <w:color w:val="000000"/>
          <w:sz w:val="22"/>
          <w:szCs w:val="22"/>
        </w:rPr>
      </w:pPr>
      <w:r w:rsidRPr="00BF4816">
        <w:rPr>
          <w:rFonts w:ascii="Calibri" w:eastAsia="Times New Roman" w:hAnsi="Calibri" w:cs="Calibri"/>
          <w:color w:val="000000"/>
          <w:sz w:val="22"/>
          <w:szCs w:val="22"/>
        </w:rPr>
        <w:t>Commit to the</w:t>
      </w:r>
      <w:r w:rsidRPr="00BF4816">
        <w:rPr>
          <w:rFonts w:ascii="Calibri" w:eastAsia="Times New Roman" w:hAnsi="Calibri" w:cs="Calibri"/>
          <w:b/>
          <w:bCs/>
          <w:color w:val="000000"/>
          <w:sz w:val="22"/>
          <w:szCs w:val="22"/>
        </w:rPr>
        <w:t xml:space="preserve"> inclusion of displaced and vulnerable populations in national and international response and recovery plans,</w:t>
      </w:r>
      <w:r w:rsidRPr="00BF4816">
        <w:rPr>
          <w:rFonts w:ascii="Calibri" w:eastAsia="Times New Roman" w:hAnsi="Calibri" w:cs="Calibri"/>
          <w:color w:val="000000"/>
          <w:sz w:val="22"/>
          <w:szCs w:val="22"/>
        </w:rPr>
        <w:t xml:space="preserve"> leveraging international financing and accountability for outcomes as incentives for states to take decisive action.</w:t>
      </w:r>
    </w:p>
    <w:p w14:paraId="26E1E4B4" w14:textId="77777777" w:rsidR="00A64644" w:rsidRPr="00BF4816" w:rsidRDefault="00A64644" w:rsidP="00A64644">
      <w:pPr>
        <w:ind w:left="720"/>
        <w:jc w:val="both"/>
        <w:textAlignment w:val="baseline"/>
        <w:rPr>
          <w:rFonts w:ascii="Calibri" w:eastAsia="Times New Roman" w:hAnsi="Calibri" w:cs="Calibri"/>
          <w:color w:val="000000"/>
          <w:sz w:val="22"/>
          <w:szCs w:val="22"/>
        </w:rPr>
      </w:pPr>
    </w:p>
    <w:p w14:paraId="1F1997C3" w14:textId="3DE8E06F" w:rsidR="00A64644" w:rsidRPr="00A64644" w:rsidRDefault="00BF4816" w:rsidP="00A64644">
      <w:pPr>
        <w:numPr>
          <w:ilvl w:val="0"/>
          <w:numId w:val="1"/>
        </w:numPr>
        <w:jc w:val="both"/>
        <w:textAlignment w:val="baseline"/>
        <w:rPr>
          <w:rFonts w:ascii="Calibri" w:eastAsia="Times New Roman" w:hAnsi="Calibri" w:cs="Calibri"/>
          <w:color w:val="000000"/>
          <w:sz w:val="22"/>
          <w:szCs w:val="22"/>
        </w:rPr>
      </w:pPr>
      <w:r w:rsidRPr="00BF4816">
        <w:rPr>
          <w:rFonts w:ascii="Calibri" w:eastAsia="Times New Roman" w:hAnsi="Calibri" w:cs="Calibri"/>
          <w:color w:val="000000"/>
          <w:sz w:val="22"/>
          <w:szCs w:val="22"/>
        </w:rPr>
        <w:t xml:space="preserve">Prioritize investment in not only vaccine production, but </w:t>
      </w:r>
      <w:r w:rsidRPr="00BF4816">
        <w:rPr>
          <w:rFonts w:ascii="Calibri" w:eastAsia="Times New Roman" w:hAnsi="Calibri" w:cs="Calibri"/>
          <w:b/>
          <w:bCs/>
          <w:color w:val="000000"/>
          <w:sz w:val="22"/>
          <w:szCs w:val="22"/>
        </w:rPr>
        <w:t xml:space="preserve">in country readiness </w:t>
      </w:r>
      <w:r w:rsidR="007C1AB3">
        <w:rPr>
          <w:rFonts w:ascii="Calibri" w:eastAsia="Times New Roman" w:hAnsi="Calibri" w:cs="Calibri"/>
          <w:b/>
          <w:bCs/>
          <w:color w:val="000000"/>
          <w:sz w:val="22"/>
          <w:szCs w:val="22"/>
        </w:rPr>
        <w:t xml:space="preserve">– </w:t>
      </w:r>
      <w:r w:rsidRPr="00BF4816">
        <w:rPr>
          <w:rFonts w:ascii="Calibri" w:eastAsia="Times New Roman" w:hAnsi="Calibri" w:cs="Calibri"/>
          <w:b/>
          <w:bCs/>
          <w:color w:val="000000"/>
          <w:sz w:val="22"/>
          <w:szCs w:val="22"/>
        </w:rPr>
        <w:t xml:space="preserve">national planning and costing </w:t>
      </w:r>
      <w:r w:rsidR="007C1AB3">
        <w:rPr>
          <w:rFonts w:ascii="Calibri" w:eastAsia="Times New Roman" w:hAnsi="Calibri" w:cs="Calibri"/>
          <w:b/>
          <w:bCs/>
          <w:color w:val="000000"/>
          <w:sz w:val="22"/>
          <w:szCs w:val="22"/>
        </w:rPr>
        <w:t xml:space="preserve">– </w:t>
      </w:r>
      <w:r w:rsidRPr="00BF4816">
        <w:rPr>
          <w:rFonts w:ascii="Calibri" w:eastAsia="Times New Roman" w:hAnsi="Calibri" w:cs="Calibri"/>
          <w:b/>
          <w:bCs/>
          <w:color w:val="000000"/>
          <w:sz w:val="22"/>
          <w:szCs w:val="22"/>
        </w:rPr>
        <w:t xml:space="preserve"> and vaccine distribution and delivery to and within regions where health systems are often weak and rates of conflict and displacement at an all-time high</w:t>
      </w:r>
      <w:r w:rsidRPr="00BF4816">
        <w:rPr>
          <w:rFonts w:ascii="Calibri" w:eastAsia="Times New Roman" w:hAnsi="Calibri" w:cs="Calibri"/>
          <w:color w:val="000000"/>
          <w:sz w:val="22"/>
          <w:szCs w:val="22"/>
        </w:rPr>
        <w:t>, to achieve more equitable access to vaccines. </w:t>
      </w:r>
    </w:p>
    <w:p w14:paraId="49E2DBDD" w14:textId="77777777" w:rsidR="00A64644" w:rsidRPr="00BF4816" w:rsidRDefault="00A64644" w:rsidP="00A64644">
      <w:pPr>
        <w:ind w:left="720"/>
        <w:jc w:val="both"/>
        <w:textAlignment w:val="baseline"/>
        <w:rPr>
          <w:rFonts w:ascii="Calibri" w:eastAsia="Times New Roman" w:hAnsi="Calibri" w:cs="Calibri"/>
          <w:color w:val="000000"/>
          <w:sz w:val="22"/>
          <w:szCs w:val="22"/>
        </w:rPr>
      </w:pPr>
    </w:p>
    <w:p w14:paraId="6E8FB8FB" w14:textId="2D635879" w:rsidR="00A64644" w:rsidRDefault="00BF4816" w:rsidP="00BF4816">
      <w:pPr>
        <w:numPr>
          <w:ilvl w:val="0"/>
          <w:numId w:val="1"/>
        </w:numPr>
        <w:spacing w:after="160"/>
        <w:jc w:val="both"/>
        <w:textAlignment w:val="baseline"/>
        <w:rPr>
          <w:rFonts w:ascii="Calibri" w:eastAsia="Times New Roman" w:hAnsi="Calibri" w:cs="Calibri"/>
          <w:color w:val="000000"/>
          <w:sz w:val="22"/>
          <w:szCs w:val="22"/>
        </w:rPr>
      </w:pPr>
      <w:r w:rsidRPr="00AB1101">
        <w:rPr>
          <w:rFonts w:ascii="Calibri" w:eastAsia="Times New Roman" w:hAnsi="Calibri" w:cs="Calibri"/>
          <w:color w:val="000000"/>
          <w:sz w:val="22"/>
          <w:szCs w:val="22"/>
        </w:rPr>
        <w:t>Enact much-needed</w:t>
      </w:r>
      <w:r w:rsidRPr="00BF4816">
        <w:rPr>
          <w:rFonts w:ascii="Calibri" w:eastAsia="Times New Roman" w:hAnsi="Calibri" w:cs="Calibri"/>
          <w:b/>
          <w:bCs/>
          <w:color w:val="000000"/>
          <w:sz w:val="22"/>
          <w:szCs w:val="22"/>
        </w:rPr>
        <w:t xml:space="preserve"> humanitarian financing reform, </w:t>
      </w:r>
      <w:r w:rsidRPr="00BF4816">
        <w:rPr>
          <w:rFonts w:ascii="Calibri" w:eastAsia="Times New Roman" w:hAnsi="Calibri" w:cs="Calibri"/>
          <w:color w:val="000000"/>
          <w:sz w:val="22"/>
          <w:szCs w:val="22"/>
        </w:rPr>
        <w:t xml:space="preserve">by increasing the amount of aid going directly to frontline responders through </w:t>
      </w:r>
      <w:r w:rsidR="00AB1101">
        <w:rPr>
          <w:rFonts w:ascii="Calibri" w:eastAsia="Times New Roman" w:hAnsi="Calibri" w:cs="Calibri"/>
          <w:color w:val="000000"/>
          <w:sz w:val="22"/>
          <w:szCs w:val="22"/>
        </w:rPr>
        <w:t>consensus</w:t>
      </w:r>
      <w:r w:rsidRPr="00BF4816">
        <w:rPr>
          <w:rFonts w:ascii="Calibri" w:eastAsia="Times New Roman" w:hAnsi="Calibri" w:cs="Calibri"/>
          <w:color w:val="000000"/>
          <w:sz w:val="22"/>
          <w:szCs w:val="22"/>
        </w:rPr>
        <w:t xml:space="preserve"> on a set percentage or target as a default approach, making more funding multi-year and unearmarked, as well as advocating for greater transparency through the adoption of a shared standard for financial reporting by donors and UN agencies to evaluate pass-through to local partners and set goals and indicators for progress.</w:t>
      </w:r>
    </w:p>
    <w:p w14:paraId="7B459D10" w14:textId="77777777" w:rsidR="009725C9" w:rsidRDefault="009725C9" w:rsidP="009725C9">
      <w:pPr>
        <w:pStyle w:val="ListParagraph"/>
        <w:rPr>
          <w:rFonts w:ascii="Calibri" w:eastAsia="Times New Roman" w:hAnsi="Calibri" w:cs="Calibri"/>
          <w:color w:val="000000"/>
          <w:sz w:val="22"/>
          <w:szCs w:val="22"/>
        </w:rPr>
      </w:pPr>
    </w:p>
    <w:p w14:paraId="487CEAB9" w14:textId="77777777" w:rsidR="009725C9" w:rsidRPr="00945B2F" w:rsidRDefault="009725C9" w:rsidP="009725C9">
      <w:pPr>
        <w:spacing w:after="160"/>
        <w:ind w:left="720"/>
        <w:jc w:val="both"/>
        <w:textAlignment w:val="baseline"/>
        <w:rPr>
          <w:rFonts w:ascii="Calibri" w:eastAsia="Times New Roman" w:hAnsi="Calibri" w:cs="Calibri"/>
          <w:color w:val="000000"/>
          <w:sz w:val="22"/>
          <w:szCs w:val="22"/>
        </w:rPr>
      </w:pPr>
    </w:p>
    <w:p w14:paraId="4436FFC5" w14:textId="51EFDCE1" w:rsidR="00945B2F" w:rsidRPr="002A685B" w:rsidRDefault="00945B2F" w:rsidP="00BF4816">
      <w:pPr>
        <w:jc w:val="both"/>
        <w:rPr>
          <w:rFonts w:ascii="Calibri" w:eastAsia="Times New Roman" w:hAnsi="Calibri" w:cs="Calibri"/>
          <w:b/>
          <w:bCs/>
          <w:color w:val="000000"/>
          <w:sz w:val="32"/>
          <w:szCs w:val="32"/>
        </w:rPr>
      </w:pPr>
      <w:r w:rsidRPr="002A685B">
        <w:rPr>
          <w:rFonts w:cstheme="minorHAnsi"/>
          <w:b/>
          <w:bCs/>
          <w:noProof/>
          <w:color w:val="000000" w:themeColor="text1"/>
          <w:u w:color="FFC000"/>
        </w:rPr>
        <w:lastRenderedPageBreak/>
        <mc:AlternateContent>
          <mc:Choice Requires="wps">
            <w:drawing>
              <wp:anchor distT="45720" distB="45720" distL="114300" distR="114300" simplePos="0" relativeHeight="251683840" behindDoc="1" locked="0" layoutInCell="1" allowOverlap="1" wp14:anchorId="206EE050" wp14:editId="53BD5F72">
                <wp:simplePos x="0" y="0"/>
                <wp:positionH relativeFrom="margin">
                  <wp:posOffset>0</wp:posOffset>
                </wp:positionH>
                <wp:positionV relativeFrom="paragraph">
                  <wp:posOffset>34290</wp:posOffset>
                </wp:positionV>
                <wp:extent cx="5143500" cy="3048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04800"/>
                        </a:xfrm>
                        <a:prstGeom prst="rect">
                          <a:avLst/>
                        </a:prstGeom>
                        <a:solidFill>
                          <a:srgbClr val="FFC000"/>
                        </a:solidFill>
                        <a:ln w="9525">
                          <a:noFill/>
                          <a:miter lim="800000"/>
                          <a:headEnd/>
                          <a:tailEnd/>
                        </a:ln>
                      </wps:spPr>
                      <wps:txbx>
                        <w:txbxContent>
                          <w:p w14:paraId="7306FC87" w14:textId="77777777" w:rsidR="00945B2F" w:rsidRPr="004C7691" w:rsidRDefault="00945B2F" w:rsidP="00945B2F">
                            <w:pPr>
                              <w:spacing w:line="240" w:lineRule="exact"/>
                              <w:contextualSpacing/>
                              <w:rPr>
                                <w:b/>
                                <w:bCs/>
                                <w:sz w:val="26"/>
                                <w:szCs w:val="2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6EE050" id="_x0000_s1035" type="#_x0000_t202" style="position:absolute;left:0;text-align:left;margin-left:0;margin-top:2.7pt;width:405pt;height:2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" fillcolor="#ffc000" stroked="f">
                <v:textbox>
                  <w:txbxContent>
                    <w:p w14:paraId="7306FC87" w14:textId="77777777" w:rsidR="00945B2F" w:rsidRPr="004C7691" w:rsidRDefault="00945B2F" w:rsidP="00945B2F">
                      <w:pPr>
                        <w:spacing w:line="240" w:lineRule="exact"/>
                        <w:contextualSpacing/>
                        <w:rPr>
                          <w:b/>
                          <w:bCs/>
                          <w:sz w:val="26"/>
                          <w:szCs w:val="26"/>
                        </w:rPr>
                      </w:pPr>
                    </w:p>
                  </w:txbxContent>
                </v:textbox>
                <w10:wrap anchorx="margin"/>
              </v:shape>
            </w:pict>
          </mc:Fallback>
        </mc:AlternateContent>
      </w:r>
      <w:r w:rsidRPr="002A685B">
        <w:rPr>
          <w:rFonts w:cstheme="minorHAnsi"/>
          <w:b/>
          <w:bCs/>
          <w:noProof/>
          <w:color w:val="000000" w:themeColor="text1"/>
          <w:sz w:val="32"/>
          <w:szCs w:val="32"/>
          <w:u w:color="FFC000"/>
        </w:rPr>
        <mc:AlternateContent>
          <mc:Choice Requires="wps">
            <w:drawing>
              <wp:anchor distT="45720" distB="45720" distL="114300" distR="114300" simplePos="0" relativeHeight="251679744" behindDoc="0" locked="0" layoutInCell="1" allowOverlap="1" wp14:anchorId="1027A145" wp14:editId="2309AC4D">
                <wp:simplePos x="0" y="0"/>
                <wp:positionH relativeFrom="margin">
                  <wp:posOffset>0</wp:posOffset>
                </wp:positionH>
                <wp:positionV relativeFrom="paragraph">
                  <wp:posOffset>334010</wp:posOffset>
                </wp:positionV>
                <wp:extent cx="6880225" cy="54610"/>
                <wp:effectExtent l="0" t="0" r="317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54610"/>
                        </a:xfrm>
                        <a:prstGeom prst="rect">
                          <a:avLst/>
                        </a:prstGeom>
                        <a:solidFill>
                          <a:srgbClr val="FFC000"/>
                        </a:solidFill>
                        <a:ln w="9525">
                          <a:noFill/>
                          <a:miter lim="800000"/>
                          <a:headEnd/>
                          <a:tailEnd/>
                        </a:ln>
                      </wps:spPr>
                      <wps:txbx>
                        <w:txbxContent>
                          <w:p w14:paraId="617E912E" w14:textId="77777777" w:rsidR="00945B2F" w:rsidRDefault="00945B2F" w:rsidP="00945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7A145" id="Text Box 8" o:spid="_x0000_s1036" type="#_x0000_t202" style="position:absolute;left:0;text-align:left;margin-left:0;margin-top:26.3pt;width:541.75pt;height:4.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" fillcolor="#ffc000" stroked="f">
                <v:textbox>
                  <w:txbxContent>
                    <w:p w14:paraId="617E912E" w14:textId="77777777" w:rsidR="00945B2F" w:rsidRDefault="00945B2F" w:rsidP="00945B2F"/>
                  </w:txbxContent>
                </v:textbox>
                <w10:wrap type="square" anchorx="margin"/>
              </v:shape>
            </w:pict>
          </mc:Fallback>
        </mc:AlternateContent>
      </w:r>
      <w:r w:rsidR="002A685B" w:rsidRPr="002A685B">
        <w:rPr>
          <w:rFonts w:ascii="Calibri" w:eastAsia="Times New Roman" w:hAnsi="Calibri" w:cs="Calibri"/>
          <w:b/>
          <w:bCs/>
          <w:color w:val="000000"/>
          <w:sz w:val="32"/>
          <w:szCs w:val="32"/>
        </w:rPr>
        <w:t xml:space="preserve">Appendix: </w:t>
      </w:r>
      <w:r w:rsidRPr="002A685B">
        <w:rPr>
          <w:rFonts w:ascii="Calibri" w:eastAsia="Times New Roman" w:hAnsi="Calibri" w:cs="Calibri"/>
          <w:b/>
          <w:bCs/>
          <w:color w:val="000000"/>
          <w:sz w:val="32"/>
          <w:szCs w:val="32"/>
        </w:rPr>
        <w:t xml:space="preserve">Vaccination Rates in the IRC’s </w:t>
      </w:r>
      <w:r w:rsidR="009725C9" w:rsidRPr="002A685B">
        <w:rPr>
          <w:rFonts w:ascii="Calibri" w:eastAsia="Times New Roman" w:hAnsi="Calibri" w:cs="Calibri"/>
          <w:b/>
          <w:bCs/>
          <w:color w:val="000000"/>
          <w:sz w:val="32"/>
          <w:szCs w:val="32"/>
        </w:rPr>
        <w:t>Watchlist Countries</w:t>
      </w:r>
    </w:p>
    <w:p w14:paraId="72613C9A" w14:textId="5C237815" w:rsidR="00BF4816" w:rsidRPr="00BF4816" w:rsidRDefault="00BF4816" w:rsidP="00945B2F">
      <w:pPr>
        <w:jc w:val="both"/>
        <w:rPr>
          <w:rFonts w:ascii="Calibri" w:eastAsia="Times New Roman" w:hAnsi="Calibri" w:cs="Calibri"/>
          <w:color w:val="000000"/>
        </w:rPr>
      </w:pPr>
    </w:p>
    <w:tbl>
      <w:tblPr>
        <w:tblStyle w:val="GridTable1Light"/>
        <w:tblW w:w="10790" w:type="dxa"/>
        <w:tblLook w:val="04A0" w:firstRow="1" w:lastRow="0" w:firstColumn="1" w:lastColumn="0" w:noHBand="0" w:noVBand="1"/>
      </w:tblPr>
      <w:tblGrid>
        <w:gridCol w:w="1507"/>
        <w:gridCol w:w="1509"/>
        <w:gridCol w:w="1257"/>
        <w:gridCol w:w="1467"/>
        <w:gridCol w:w="1330"/>
        <w:gridCol w:w="1181"/>
        <w:gridCol w:w="1316"/>
        <w:gridCol w:w="1223"/>
      </w:tblGrid>
      <w:tr w:rsidR="00666001" w:rsidRPr="00666001" w14:paraId="26DB56CF" w14:textId="77777777" w:rsidTr="00F14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hideMark/>
          </w:tcPr>
          <w:p w14:paraId="57F42C6C" w14:textId="77777777" w:rsidR="00945B2F" w:rsidRPr="00945B2F" w:rsidRDefault="00945B2F" w:rsidP="00945B2F">
            <w:pPr>
              <w:rPr>
                <w:rFonts w:eastAsia="Times New Roman" w:cstheme="minorHAnsi"/>
                <w:sz w:val="22"/>
                <w:szCs w:val="22"/>
              </w:rPr>
            </w:pPr>
          </w:p>
        </w:tc>
        <w:tc>
          <w:tcPr>
            <w:tcW w:w="1509" w:type="dxa"/>
            <w:hideMark/>
          </w:tcPr>
          <w:p w14:paraId="4D58FE67" w14:textId="788BE0D9"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Share of people who have received one dose</w:t>
            </w:r>
            <w:r w:rsidRPr="00666001">
              <w:rPr>
                <w:rStyle w:val="FootnoteReference"/>
                <w:rFonts w:eastAsia="Times New Roman" w:cstheme="minorHAnsi"/>
                <w:color w:val="000000"/>
                <w:sz w:val="22"/>
                <w:szCs w:val="22"/>
              </w:rPr>
              <w:footnoteReference w:id="2"/>
            </w:r>
            <w:r w:rsidRPr="00666001">
              <w:rPr>
                <w:rStyle w:val="FootnoteReference"/>
                <w:rFonts w:eastAsia="Times New Roman" w:cstheme="minorHAnsi"/>
                <w:color w:val="000000"/>
                <w:sz w:val="22"/>
                <w:szCs w:val="22"/>
              </w:rPr>
              <w:footnoteReference w:id="3"/>
            </w:r>
          </w:p>
        </w:tc>
        <w:tc>
          <w:tcPr>
            <w:tcW w:w="1257" w:type="dxa"/>
            <w:hideMark/>
          </w:tcPr>
          <w:p w14:paraId="6A24A715" w14:textId="77777777"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Share of fully vaccinated people</w:t>
            </w:r>
          </w:p>
        </w:tc>
        <w:tc>
          <w:tcPr>
            <w:tcW w:w="1467" w:type="dxa"/>
            <w:hideMark/>
          </w:tcPr>
          <w:p w14:paraId="1B2ABF86" w14:textId="77777777"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Total (partially or fully vaccinated)</w:t>
            </w:r>
          </w:p>
        </w:tc>
        <w:tc>
          <w:tcPr>
            <w:tcW w:w="1330" w:type="dxa"/>
            <w:hideMark/>
          </w:tcPr>
          <w:p w14:paraId="52024AED" w14:textId="01739539"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Population</w:t>
            </w:r>
            <w:r w:rsidRPr="00666001">
              <w:rPr>
                <w:rStyle w:val="FootnoteReference"/>
                <w:rFonts w:eastAsia="Times New Roman" w:cstheme="minorHAnsi"/>
                <w:color w:val="000000"/>
                <w:sz w:val="22"/>
                <w:szCs w:val="22"/>
              </w:rPr>
              <w:footnoteReference w:id="4"/>
            </w:r>
          </w:p>
        </w:tc>
        <w:tc>
          <w:tcPr>
            <w:tcW w:w="1181" w:type="dxa"/>
            <w:hideMark/>
          </w:tcPr>
          <w:p w14:paraId="3D01385F" w14:textId="3F3B2952"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Acute food insecurity</w:t>
            </w:r>
            <w:r w:rsidRPr="00666001">
              <w:rPr>
                <w:rStyle w:val="FootnoteReference"/>
                <w:rFonts w:eastAsia="Times New Roman" w:cstheme="minorHAnsi"/>
                <w:color w:val="000000"/>
                <w:sz w:val="22"/>
                <w:szCs w:val="22"/>
              </w:rPr>
              <w:footnoteReference w:id="5"/>
            </w:r>
          </w:p>
        </w:tc>
        <w:tc>
          <w:tcPr>
            <w:tcW w:w="1316" w:type="dxa"/>
            <w:hideMark/>
          </w:tcPr>
          <w:p w14:paraId="72DC58EB" w14:textId="54DFBE1F"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At risk of climate change impacts</w:t>
            </w:r>
            <w:r w:rsidRPr="00666001">
              <w:rPr>
                <w:rStyle w:val="FootnoteReference"/>
                <w:rFonts w:eastAsia="Times New Roman" w:cstheme="minorHAnsi"/>
                <w:color w:val="000000"/>
                <w:sz w:val="22"/>
                <w:szCs w:val="22"/>
              </w:rPr>
              <w:footnoteReference w:id="6"/>
            </w:r>
          </w:p>
        </w:tc>
        <w:tc>
          <w:tcPr>
            <w:tcW w:w="1223" w:type="dxa"/>
            <w:hideMark/>
          </w:tcPr>
          <w:p w14:paraId="0A4C295C" w14:textId="4DAAB31F" w:rsidR="00945B2F" w:rsidRPr="00945B2F" w:rsidRDefault="00945B2F" w:rsidP="00945B2F">
            <w:pP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High levels of conflict</w:t>
            </w:r>
            <w:r w:rsidRPr="00666001">
              <w:rPr>
                <w:rStyle w:val="FootnoteReference"/>
                <w:rFonts w:eastAsia="Times New Roman" w:cstheme="minorHAnsi"/>
                <w:color w:val="000000"/>
                <w:sz w:val="22"/>
                <w:szCs w:val="22"/>
              </w:rPr>
              <w:footnoteReference w:id="7"/>
            </w:r>
          </w:p>
        </w:tc>
      </w:tr>
      <w:tr w:rsidR="00666001" w:rsidRPr="00666001" w14:paraId="05AD7BA0"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79E195E" w14:textId="77777777" w:rsidR="00945B2F" w:rsidRPr="00945B2F" w:rsidRDefault="00945B2F" w:rsidP="00945B2F">
            <w:pPr>
              <w:rPr>
                <w:rFonts w:eastAsia="Times New Roman" w:cstheme="minorHAnsi"/>
                <w:sz w:val="22"/>
                <w:szCs w:val="22"/>
              </w:rPr>
            </w:pPr>
            <w:r w:rsidRPr="00945B2F">
              <w:rPr>
                <w:rFonts w:eastAsia="Times New Roman" w:cstheme="minorHAnsi"/>
                <w:color w:val="000000"/>
                <w:sz w:val="22"/>
                <w:szCs w:val="22"/>
              </w:rPr>
              <w:t>Yemen</w:t>
            </w:r>
          </w:p>
        </w:tc>
        <w:tc>
          <w:tcPr>
            <w:tcW w:w="1509" w:type="dxa"/>
            <w:hideMark/>
          </w:tcPr>
          <w:p w14:paraId="174000A5"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0.93%</w:t>
            </w:r>
          </w:p>
        </w:tc>
        <w:tc>
          <w:tcPr>
            <w:tcW w:w="1257" w:type="dxa"/>
            <w:hideMark/>
          </w:tcPr>
          <w:p w14:paraId="0D657716"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0.04%</w:t>
            </w:r>
          </w:p>
        </w:tc>
        <w:tc>
          <w:tcPr>
            <w:tcW w:w="1467" w:type="dxa"/>
            <w:hideMark/>
          </w:tcPr>
          <w:p w14:paraId="089642DD"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0.97%</w:t>
            </w:r>
          </w:p>
        </w:tc>
        <w:tc>
          <w:tcPr>
            <w:tcW w:w="1330" w:type="dxa"/>
            <w:hideMark/>
          </w:tcPr>
          <w:p w14:paraId="078FD0C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29,825,970</w:t>
            </w:r>
          </w:p>
        </w:tc>
        <w:tc>
          <w:tcPr>
            <w:tcW w:w="1181" w:type="dxa"/>
            <w:shd w:val="clear" w:color="auto" w:fill="FFC000"/>
            <w:hideMark/>
          </w:tcPr>
          <w:p w14:paraId="334960D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211536A8"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45DE8BFE"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FFC000"/>
                <w:sz w:val="22"/>
                <w:szCs w:val="22"/>
              </w:rPr>
            </w:pPr>
          </w:p>
        </w:tc>
      </w:tr>
      <w:tr w:rsidR="00666001" w:rsidRPr="00666001" w14:paraId="52452969"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6B6C4F43" w14:textId="77777777" w:rsidR="00945B2F" w:rsidRPr="00945B2F" w:rsidRDefault="00945B2F" w:rsidP="00945B2F">
            <w:pPr>
              <w:rPr>
                <w:rFonts w:eastAsia="Times New Roman" w:cstheme="minorHAnsi"/>
                <w:sz w:val="22"/>
                <w:szCs w:val="22"/>
              </w:rPr>
            </w:pPr>
            <w:r w:rsidRPr="00945B2F">
              <w:rPr>
                <w:rFonts w:eastAsia="Times New Roman" w:cstheme="minorHAnsi"/>
                <w:color w:val="000000"/>
                <w:sz w:val="22"/>
                <w:szCs w:val="22"/>
              </w:rPr>
              <w:t>Afghanistan</w:t>
            </w:r>
          </w:p>
        </w:tc>
        <w:tc>
          <w:tcPr>
            <w:tcW w:w="1509" w:type="dxa"/>
            <w:hideMark/>
          </w:tcPr>
          <w:p w14:paraId="3529A8A3"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0.85%</w:t>
            </w:r>
          </w:p>
        </w:tc>
        <w:tc>
          <w:tcPr>
            <w:tcW w:w="1257" w:type="dxa"/>
            <w:hideMark/>
          </w:tcPr>
          <w:p w14:paraId="1A37534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1.08%</w:t>
            </w:r>
          </w:p>
        </w:tc>
        <w:tc>
          <w:tcPr>
            <w:tcW w:w="1467" w:type="dxa"/>
            <w:hideMark/>
          </w:tcPr>
          <w:p w14:paraId="57819684"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1.93%</w:t>
            </w:r>
          </w:p>
        </w:tc>
        <w:tc>
          <w:tcPr>
            <w:tcW w:w="1330" w:type="dxa"/>
            <w:hideMark/>
          </w:tcPr>
          <w:p w14:paraId="21781EBF"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8F9FA"/>
              </w:rPr>
              <w:t>38,928,3400</w:t>
            </w:r>
          </w:p>
        </w:tc>
        <w:tc>
          <w:tcPr>
            <w:tcW w:w="1181" w:type="dxa"/>
            <w:shd w:val="clear" w:color="auto" w:fill="FFC000"/>
            <w:hideMark/>
          </w:tcPr>
          <w:p w14:paraId="1840423B"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shd w:val="clear" w:color="auto" w:fill="FFC000"/>
            <w:hideMark/>
          </w:tcPr>
          <w:p w14:paraId="743997CA"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60810FB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666001" w:rsidRPr="00666001" w14:paraId="70D2202A"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2528EFD" w14:textId="77777777" w:rsidR="00945B2F" w:rsidRPr="00945B2F" w:rsidRDefault="00945B2F" w:rsidP="00945B2F">
            <w:pPr>
              <w:rPr>
                <w:rFonts w:eastAsia="Times New Roman" w:cstheme="minorHAnsi"/>
                <w:sz w:val="22"/>
                <w:szCs w:val="22"/>
              </w:rPr>
            </w:pPr>
            <w:r w:rsidRPr="00945B2F">
              <w:rPr>
                <w:rFonts w:eastAsia="Times New Roman" w:cstheme="minorHAnsi"/>
                <w:color w:val="000000"/>
                <w:sz w:val="22"/>
                <w:szCs w:val="22"/>
              </w:rPr>
              <w:t>Syria</w:t>
            </w:r>
          </w:p>
        </w:tc>
        <w:tc>
          <w:tcPr>
            <w:tcW w:w="1509" w:type="dxa"/>
            <w:hideMark/>
          </w:tcPr>
          <w:p w14:paraId="744464B0"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0.40%</w:t>
            </w:r>
          </w:p>
        </w:tc>
        <w:tc>
          <w:tcPr>
            <w:tcW w:w="1257" w:type="dxa"/>
            <w:hideMark/>
          </w:tcPr>
          <w:p w14:paraId="7ED7998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0.86%</w:t>
            </w:r>
          </w:p>
        </w:tc>
        <w:tc>
          <w:tcPr>
            <w:tcW w:w="1467" w:type="dxa"/>
            <w:hideMark/>
          </w:tcPr>
          <w:p w14:paraId="302A28A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1.26%</w:t>
            </w:r>
          </w:p>
        </w:tc>
        <w:tc>
          <w:tcPr>
            <w:tcW w:w="1330" w:type="dxa"/>
            <w:hideMark/>
          </w:tcPr>
          <w:p w14:paraId="5C66BA07"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17,500,660</w:t>
            </w:r>
          </w:p>
        </w:tc>
        <w:tc>
          <w:tcPr>
            <w:tcW w:w="1181" w:type="dxa"/>
            <w:hideMark/>
          </w:tcPr>
          <w:p w14:paraId="6BFB883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2BA49DFD"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654DB2D2"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666001" w:rsidRPr="00666001" w14:paraId="648FE662"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828F174" w14:textId="77777777" w:rsidR="00945B2F" w:rsidRPr="00945B2F" w:rsidRDefault="00945B2F" w:rsidP="00945B2F">
            <w:pPr>
              <w:rPr>
                <w:rFonts w:eastAsia="Times New Roman" w:cstheme="minorHAnsi"/>
                <w:sz w:val="22"/>
                <w:szCs w:val="22"/>
              </w:rPr>
            </w:pPr>
            <w:r w:rsidRPr="00945B2F">
              <w:rPr>
                <w:rFonts w:eastAsia="Times New Roman" w:cstheme="minorHAnsi"/>
                <w:color w:val="000000"/>
                <w:sz w:val="22"/>
                <w:szCs w:val="22"/>
              </w:rPr>
              <w:t>DRC</w:t>
            </w:r>
          </w:p>
        </w:tc>
        <w:tc>
          <w:tcPr>
            <w:tcW w:w="1509" w:type="dxa"/>
            <w:hideMark/>
          </w:tcPr>
          <w:p w14:paraId="65C3D544"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0.07%</w:t>
            </w:r>
          </w:p>
        </w:tc>
        <w:tc>
          <w:tcPr>
            <w:tcW w:w="1257" w:type="dxa"/>
            <w:hideMark/>
          </w:tcPr>
          <w:p w14:paraId="24D981A6"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0.02%</w:t>
            </w:r>
          </w:p>
        </w:tc>
        <w:tc>
          <w:tcPr>
            <w:tcW w:w="1467" w:type="dxa"/>
            <w:hideMark/>
          </w:tcPr>
          <w:p w14:paraId="474F7F04"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0.09%</w:t>
            </w:r>
          </w:p>
        </w:tc>
        <w:tc>
          <w:tcPr>
            <w:tcW w:w="1330" w:type="dxa"/>
            <w:hideMark/>
          </w:tcPr>
          <w:p w14:paraId="4FC8A1C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89,561,400</w:t>
            </w:r>
          </w:p>
        </w:tc>
        <w:tc>
          <w:tcPr>
            <w:tcW w:w="1181" w:type="dxa"/>
            <w:shd w:val="clear" w:color="auto" w:fill="FFC000"/>
            <w:hideMark/>
          </w:tcPr>
          <w:p w14:paraId="5EF2592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12523609"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76EFB216"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666001" w:rsidRPr="00666001" w14:paraId="063D3317"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7F86291F" w14:textId="77777777" w:rsidR="00945B2F" w:rsidRPr="00945B2F" w:rsidRDefault="00945B2F" w:rsidP="00945B2F">
            <w:pPr>
              <w:rPr>
                <w:rFonts w:eastAsia="Times New Roman" w:cstheme="minorHAnsi"/>
                <w:sz w:val="22"/>
                <w:szCs w:val="22"/>
              </w:rPr>
            </w:pPr>
            <w:r w:rsidRPr="00945B2F">
              <w:rPr>
                <w:rFonts w:eastAsia="Times New Roman" w:cstheme="minorHAnsi"/>
                <w:color w:val="000000"/>
                <w:sz w:val="22"/>
                <w:szCs w:val="22"/>
              </w:rPr>
              <w:t>Ethiopia</w:t>
            </w:r>
          </w:p>
        </w:tc>
        <w:tc>
          <w:tcPr>
            <w:tcW w:w="1509" w:type="dxa"/>
            <w:hideMark/>
          </w:tcPr>
          <w:p w14:paraId="58E47D33"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2.3%</w:t>
            </w:r>
          </w:p>
        </w:tc>
        <w:tc>
          <w:tcPr>
            <w:tcW w:w="1257" w:type="dxa"/>
            <w:hideMark/>
          </w:tcPr>
          <w:p w14:paraId="50A3FFF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1.1%</w:t>
            </w:r>
          </w:p>
        </w:tc>
        <w:tc>
          <w:tcPr>
            <w:tcW w:w="1467" w:type="dxa"/>
            <w:hideMark/>
          </w:tcPr>
          <w:p w14:paraId="3E9EA867"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3.4%</w:t>
            </w:r>
          </w:p>
        </w:tc>
        <w:tc>
          <w:tcPr>
            <w:tcW w:w="1330" w:type="dxa"/>
            <w:hideMark/>
          </w:tcPr>
          <w:p w14:paraId="67AF47D0"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114,963,580</w:t>
            </w:r>
          </w:p>
        </w:tc>
        <w:tc>
          <w:tcPr>
            <w:tcW w:w="1181" w:type="dxa"/>
            <w:shd w:val="clear" w:color="auto" w:fill="FFC000"/>
            <w:hideMark/>
          </w:tcPr>
          <w:p w14:paraId="4A62F2F1"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510EF578"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45EBE857" w14:textId="77777777" w:rsidR="00945B2F" w:rsidRPr="00945B2F" w:rsidRDefault="00945B2F" w:rsidP="00945B2F">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6E3CB6E4"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74DDB8E4"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Burkina Faso</w:t>
            </w:r>
          </w:p>
        </w:tc>
        <w:tc>
          <w:tcPr>
            <w:tcW w:w="1509" w:type="dxa"/>
            <w:hideMark/>
          </w:tcPr>
          <w:p w14:paraId="790B043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0.44%</w:t>
            </w:r>
          </w:p>
        </w:tc>
        <w:tc>
          <w:tcPr>
            <w:tcW w:w="1257" w:type="dxa"/>
            <w:hideMark/>
          </w:tcPr>
          <w:p w14:paraId="36AE199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0.06%</w:t>
            </w:r>
          </w:p>
        </w:tc>
        <w:tc>
          <w:tcPr>
            <w:tcW w:w="1467" w:type="dxa"/>
            <w:hideMark/>
          </w:tcPr>
          <w:p w14:paraId="5018545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0.50%</w:t>
            </w:r>
          </w:p>
        </w:tc>
        <w:tc>
          <w:tcPr>
            <w:tcW w:w="1330" w:type="dxa"/>
            <w:hideMark/>
          </w:tcPr>
          <w:p w14:paraId="5068D7C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8F9FA"/>
              </w:rPr>
              <w:t>20,903,280</w:t>
            </w:r>
          </w:p>
        </w:tc>
        <w:tc>
          <w:tcPr>
            <w:tcW w:w="1181" w:type="dxa"/>
            <w:shd w:val="clear" w:color="auto" w:fill="FFC000"/>
            <w:hideMark/>
          </w:tcPr>
          <w:p w14:paraId="612A303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2A88F97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63D7F0C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79761611"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2A41364D"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South Sudan</w:t>
            </w:r>
          </w:p>
        </w:tc>
        <w:tc>
          <w:tcPr>
            <w:tcW w:w="1509" w:type="dxa"/>
            <w:hideMark/>
          </w:tcPr>
          <w:p w14:paraId="22CCE9F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0.41%</w:t>
            </w:r>
          </w:p>
        </w:tc>
        <w:tc>
          <w:tcPr>
            <w:tcW w:w="1257" w:type="dxa"/>
            <w:hideMark/>
          </w:tcPr>
          <w:p w14:paraId="2A39435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0.06%</w:t>
            </w:r>
          </w:p>
        </w:tc>
        <w:tc>
          <w:tcPr>
            <w:tcW w:w="1467" w:type="dxa"/>
            <w:hideMark/>
          </w:tcPr>
          <w:p w14:paraId="71D9FFF4"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0.47%</w:t>
            </w:r>
          </w:p>
        </w:tc>
        <w:tc>
          <w:tcPr>
            <w:tcW w:w="1330" w:type="dxa"/>
            <w:hideMark/>
          </w:tcPr>
          <w:p w14:paraId="533D242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11,193,730</w:t>
            </w:r>
          </w:p>
        </w:tc>
        <w:tc>
          <w:tcPr>
            <w:tcW w:w="1181" w:type="dxa"/>
            <w:shd w:val="clear" w:color="auto" w:fill="FFC000"/>
            <w:hideMark/>
          </w:tcPr>
          <w:p w14:paraId="6BA1F251"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shd w:val="clear" w:color="auto" w:fill="FFC000"/>
            <w:hideMark/>
          </w:tcPr>
          <w:p w14:paraId="3EDA0610"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4D27585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3925B883"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239770C"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Nigeria</w:t>
            </w:r>
          </w:p>
        </w:tc>
        <w:tc>
          <w:tcPr>
            <w:tcW w:w="1509" w:type="dxa"/>
            <w:hideMark/>
          </w:tcPr>
          <w:p w14:paraId="3198DE5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0.91%</w:t>
            </w:r>
          </w:p>
        </w:tc>
        <w:tc>
          <w:tcPr>
            <w:tcW w:w="1257" w:type="dxa"/>
            <w:hideMark/>
          </w:tcPr>
          <w:p w14:paraId="5096F81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0.73%</w:t>
            </w:r>
          </w:p>
        </w:tc>
        <w:tc>
          <w:tcPr>
            <w:tcW w:w="1467" w:type="dxa"/>
            <w:hideMark/>
          </w:tcPr>
          <w:p w14:paraId="4AB94D1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1.64%</w:t>
            </w:r>
          </w:p>
        </w:tc>
        <w:tc>
          <w:tcPr>
            <w:tcW w:w="1330" w:type="dxa"/>
            <w:hideMark/>
          </w:tcPr>
          <w:p w14:paraId="41CE91E4"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206,139,590</w:t>
            </w:r>
          </w:p>
        </w:tc>
        <w:tc>
          <w:tcPr>
            <w:tcW w:w="1181" w:type="dxa"/>
            <w:shd w:val="clear" w:color="auto" w:fill="FFC000"/>
            <w:hideMark/>
          </w:tcPr>
          <w:p w14:paraId="2CBFB650"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51C1F6C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1924F05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7AA5FE89"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7724512E"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Venezuela</w:t>
            </w:r>
          </w:p>
        </w:tc>
        <w:tc>
          <w:tcPr>
            <w:tcW w:w="1509" w:type="dxa"/>
            <w:hideMark/>
          </w:tcPr>
          <w:p w14:paraId="474B388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9.30%</w:t>
            </w:r>
          </w:p>
        </w:tc>
        <w:tc>
          <w:tcPr>
            <w:tcW w:w="1257" w:type="dxa"/>
            <w:hideMark/>
          </w:tcPr>
          <w:p w14:paraId="2BC3DB8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11.62%</w:t>
            </w:r>
          </w:p>
        </w:tc>
        <w:tc>
          <w:tcPr>
            <w:tcW w:w="1467" w:type="dxa"/>
            <w:hideMark/>
          </w:tcPr>
          <w:p w14:paraId="13C966A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20.92%</w:t>
            </w:r>
          </w:p>
        </w:tc>
        <w:tc>
          <w:tcPr>
            <w:tcW w:w="1330" w:type="dxa"/>
            <w:hideMark/>
          </w:tcPr>
          <w:p w14:paraId="3074706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8F9FA"/>
              </w:rPr>
              <w:t>28,435,940</w:t>
            </w:r>
          </w:p>
        </w:tc>
        <w:tc>
          <w:tcPr>
            <w:tcW w:w="1181" w:type="dxa"/>
            <w:hideMark/>
          </w:tcPr>
          <w:p w14:paraId="7E0A22A5"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65E0095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5ED3B3C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4E7573F1"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D22D504"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Mozambique</w:t>
            </w:r>
          </w:p>
        </w:tc>
        <w:tc>
          <w:tcPr>
            <w:tcW w:w="1509" w:type="dxa"/>
            <w:hideMark/>
          </w:tcPr>
          <w:p w14:paraId="4C52CF0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3.08%</w:t>
            </w:r>
          </w:p>
        </w:tc>
        <w:tc>
          <w:tcPr>
            <w:tcW w:w="1257" w:type="dxa"/>
            <w:hideMark/>
          </w:tcPr>
          <w:p w14:paraId="1FDDDBF9"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2.03%</w:t>
            </w:r>
          </w:p>
        </w:tc>
        <w:tc>
          <w:tcPr>
            <w:tcW w:w="1467" w:type="dxa"/>
            <w:hideMark/>
          </w:tcPr>
          <w:p w14:paraId="1D4CA66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5.11%</w:t>
            </w:r>
          </w:p>
        </w:tc>
        <w:tc>
          <w:tcPr>
            <w:tcW w:w="1330" w:type="dxa"/>
            <w:hideMark/>
          </w:tcPr>
          <w:p w14:paraId="20990AE0"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31,255,440</w:t>
            </w:r>
          </w:p>
        </w:tc>
        <w:tc>
          <w:tcPr>
            <w:tcW w:w="1181" w:type="dxa"/>
            <w:hideMark/>
          </w:tcPr>
          <w:p w14:paraId="2A42E91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shd w:val="clear" w:color="auto" w:fill="FFC000"/>
            <w:hideMark/>
          </w:tcPr>
          <w:p w14:paraId="63F546F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auto"/>
            <w:hideMark/>
          </w:tcPr>
          <w:p w14:paraId="53B128C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4C7839D9"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0AEDB9BF"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Cameroon</w:t>
            </w:r>
          </w:p>
        </w:tc>
        <w:tc>
          <w:tcPr>
            <w:tcW w:w="1509" w:type="dxa"/>
            <w:hideMark/>
          </w:tcPr>
          <w:p w14:paraId="5CFB9C04"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1.01%</w:t>
            </w:r>
          </w:p>
        </w:tc>
        <w:tc>
          <w:tcPr>
            <w:tcW w:w="1257" w:type="dxa"/>
            <w:hideMark/>
          </w:tcPr>
          <w:p w14:paraId="3B9D382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0.29%</w:t>
            </w:r>
          </w:p>
        </w:tc>
        <w:tc>
          <w:tcPr>
            <w:tcW w:w="1467" w:type="dxa"/>
            <w:hideMark/>
          </w:tcPr>
          <w:p w14:paraId="1980A6F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1.3%</w:t>
            </w:r>
          </w:p>
        </w:tc>
        <w:tc>
          <w:tcPr>
            <w:tcW w:w="1330" w:type="dxa"/>
            <w:hideMark/>
          </w:tcPr>
          <w:p w14:paraId="7792D175"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26,545,860</w:t>
            </w:r>
          </w:p>
        </w:tc>
        <w:tc>
          <w:tcPr>
            <w:tcW w:w="1181" w:type="dxa"/>
            <w:shd w:val="clear" w:color="auto" w:fill="FFC000"/>
            <w:hideMark/>
          </w:tcPr>
          <w:p w14:paraId="567A736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32A95670"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2565C661"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47B43010"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3B502607"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CAR</w:t>
            </w:r>
          </w:p>
        </w:tc>
        <w:tc>
          <w:tcPr>
            <w:tcW w:w="1509" w:type="dxa"/>
            <w:hideMark/>
          </w:tcPr>
          <w:p w14:paraId="0CCFBF7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1.1%</w:t>
            </w:r>
          </w:p>
        </w:tc>
        <w:tc>
          <w:tcPr>
            <w:tcW w:w="1257" w:type="dxa"/>
            <w:hideMark/>
          </w:tcPr>
          <w:p w14:paraId="18F1522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0.53%</w:t>
            </w:r>
          </w:p>
        </w:tc>
        <w:tc>
          <w:tcPr>
            <w:tcW w:w="1467" w:type="dxa"/>
            <w:hideMark/>
          </w:tcPr>
          <w:p w14:paraId="7CE8BFA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1.58%</w:t>
            </w:r>
          </w:p>
        </w:tc>
        <w:tc>
          <w:tcPr>
            <w:tcW w:w="1330" w:type="dxa"/>
            <w:hideMark/>
          </w:tcPr>
          <w:p w14:paraId="080CAF8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4,829,760</w:t>
            </w:r>
          </w:p>
        </w:tc>
        <w:tc>
          <w:tcPr>
            <w:tcW w:w="1181" w:type="dxa"/>
            <w:shd w:val="clear" w:color="auto" w:fill="FFC000"/>
            <w:hideMark/>
          </w:tcPr>
          <w:p w14:paraId="69B68351"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19D899E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25945CA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2D02F02E"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66A4C022"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Chad</w:t>
            </w:r>
          </w:p>
        </w:tc>
        <w:tc>
          <w:tcPr>
            <w:tcW w:w="1509" w:type="dxa"/>
            <w:hideMark/>
          </w:tcPr>
          <w:p w14:paraId="596BCEE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0.21%</w:t>
            </w:r>
          </w:p>
        </w:tc>
        <w:tc>
          <w:tcPr>
            <w:tcW w:w="1257" w:type="dxa"/>
            <w:hideMark/>
          </w:tcPr>
          <w:p w14:paraId="17ECC1F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0.10%</w:t>
            </w:r>
          </w:p>
        </w:tc>
        <w:tc>
          <w:tcPr>
            <w:tcW w:w="1467" w:type="dxa"/>
            <w:hideMark/>
          </w:tcPr>
          <w:p w14:paraId="70D90E7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0.31%</w:t>
            </w:r>
          </w:p>
        </w:tc>
        <w:tc>
          <w:tcPr>
            <w:tcW w:w="1330" w:type="dxa"/>
            <w:hideMark/>
          </w:tcPr>
          <w:p w14:paraId="520CFC3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16,425,860</w:t>
            </w:r>
          </w:p>
        </w:tc>
        <w:tc>
          <w:tcPr>
            <w:tcW w:w="1181" w:type="dxa"/>
            <w:hideMark/>
          </w:tcPr>
          <w:p w14:paraId="5734B61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1C3AE16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19E62415"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73572541"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64C4D12D"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Colombia</w:t>
            </w:r>
          </w:p>
        </w:tc>
        <w:tc>
          <w:tcPr>
            <w:tcW w:w="1509" w:type="dxa"/>
            <w:hideMark/>
          </w:tcPr>
          <w:p w14:paraId="6D999B9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17.94%</w:t>
            </w:r>
          </w:p>
        </w:tc>
        <w:tc>
          <w:tcPr>
            <w:tcW w:w="1257" w:type="dxa"/>
            <w:hideMark/>
          </w:tcPr>
          <w:p w14:paraId="38F2CD71"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29.09%</w:t>
            </w:r>
          </w:p>
        </w:tc>
        <w:tc>
          <w:tcPr>
            <w:tcW w:w="1467" w:type="dxa"/>
            <w:hideMark/>
          </w:tcPr>
          <w:p w14:paraId="55C03CF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47.03%</w:t>
            </w:r>
          </w:p>
        </w:tc>
        <w:tc>
          <w:tcPr>
            <w:tcW w:w="1330" w:type="dxa"/>
            <w:hideMark/>
          </w:tcPr>
          <w:p w14:paraId="4AEEE209"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50,882,800</w:t>
            </w:r>
          </w:p>
        </w:tc>
        <w:tc>
          <w:tcPr>
            <w:tcW w:w="1181" w:type="dxa"/>
            <w:hideMark/>
          </w:tcPr>
          <w:p w14:paraId="4962501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5BA7F7A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55D54F7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399106FD"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713D2D50"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Lebanon</w:t>
            </w:r>
          </w:p>
        </w:tc>
        <w:tc>
          <w:tcPr>
            <w:tcW w:w="1509" w:type="dxa"/>
            <w:hideMark/>
          </w:tcPr>
          <w:p w14:paraId="53005C4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4.14%</w:t>
            </w:r>
          </w:p>
        </w:tc>
        <w:tc>
          <w:tcPr>
            <w:tcW w:w="1257" w:type="dxa"/>
            <w:hideMark/>
          </w:tcPr>
          <w:p w14:paraId="4FE0361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16.73%</w:t>
            </w:r>
          </w:p>
        </w:tc>
        <w:tc>
          <w:tcPr>
            <w:tcW w:w="1467" w:type="dxa"/>
            <w:hideMark/>
          </w:tcPr>
          <w:p w14:paraId="67887363"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20.87%</w:t>
            </w:r>
          </w:p>
        </w:tc>
        <w:tc>
          <w:tcPr>
            <w:tcW w:w="1330" w:type="dxa"/>
            <w:hideMark/>
          </w:tcPr>
          <w:p w14:paraId="78BF8509"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8F9FA"/>
              </w:rPr>
              <w:t>6,825,440</w:t>
            </w:r>
          </w:p>
        </w:tc>
        <w:tc>
          <w:tcPr>
            <w:tcW w:w="1181" w:type="dxa"/>
            <w:hideMark/>
          </w:tcPr>
          <w:p w14:paraId="665FB5E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00D381D9"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4D29042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2035BDE7"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0BC5ED68"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Mali</w:t>
            </w:r>
          </w:p>
        </w:tc>
        <w:tc>
          <w:tcPr>
            <w:tcW w:w="1509" w:type="dxa"/>
            <w:hideMark/>
          </w:tcPr>
          <w:p w14:paraId="43316BE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0.82%</w:t>
            </w:r>
          </w:p>
        </w:tc>
        <w:tc>
          <w:tcPr>
            <w:tcW w:w="1257" w:type="dxa"/>
            <w:hideMark/>
          </w:tcPr>
          <w:p w14:paraId="5A061EF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0.41%</w:t>
            </w:r>
          </w:p>
        </w:tc>
        <w:tc>
          <w:tcPr>
            <w:tcW w:w="1467" w:type="dxa"/>
            <w:hideMark/>
          </w:tcPr>
          <w:p w14:paraId="37DEC89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1.23%</w:t>
            </w:r>
          </w:p>
        </w:tc>
        <w:tc>
          <w:tcPr>
            <w:tcW w:w="1330" w:type="dxa"/>
            <w:hideMark/>
          </w:tcPr>
          <w:p w14:paraId="78C2210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8F9FA"/>
              </w:rPr>
              <w:t>20,250,830</w:t>
            </w:r>
          </w:p>
        </w:tc>
        <w:tc>
          <w:tcPr>
            <w:tcW w:w="1181" w:type="dxa"/>
            <w:hideMark/>
          </w:tcPr>
          <w:p w14:paraId="4A7A9B2E"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5CA01B09"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053A149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27AC9802"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8C30BDA"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Niger</w:t>
            </w:r>
          </w:p>
        </w:tc>
        <w:tc>
          <w:tcPr>
            <w:tcW w:w="1509" w:type="dxa"/>
            <w:hideMark/>
          </w:tcPr>
          <w:p w14:paraId="7DAA883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1.26%</w:t>
            </w:r>
          </w:p>
        </w:tc>
        <w:tc>
          <w:tcPr>
            <w:tcW w:w="1257" w:type="dxa"/>
            <w:hideMark/>
          </w:tcPr>
          <w:p w14:paraId="123917B4"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0.35%</w:t>
            </w:r>
          </w:p>
        </w:tc>
        <w:tc>
          <w:tcPr>
            <w:tcW w:w="1467" w:type="dxa"/>
            <w:hideMark/>
          </w:tcPr>
          <w:p w14:paraId="334F06F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1.61%</w:t>
            </w:r>
          </w:p>
        </w:tc>
        <w:tc>
          <w:tcPr>
            <w:tcW w:w="1330" w:type="dxa"/>
            <w:hideMark/>
          </w:tcPr>
          <w:p w14:paraId="79CB22DE"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24,206,640</w:t>
            </w:r>
          </w:p>
        </w:tc>
        <w:tc>
          <w:tcPr>
            <w:tcW w:w="1181" w:type="dxa"/>
            <w:shd w:val="clear" w:color="auto" w:fill="FFC000"/>
            <w:hideMark/>
          </w:tcPr>
          <w:p w14:paraId="0105A97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shd w:val="clear" w:color="auto" w:fill="FFC000"/>
            <w:hideMark/>
          </w:tcPr>
          <w:p w14:paraId="51441094"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3B3CD462"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13051BE3"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2350477D"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Palestine</w:t>
            </w:r>
          </w:p>
        </w:tc>
        <w:tc>
          <w:tcPr>
            <w:tcW w:w="1509" w:type="dxa"/>
            <w:hideMark/>
          </w:tcPr>
          <w:p w14:paraId="59D35A2E"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9.18%</w:t>
            </w:r>
          </w:p>
        </w:tc>
        <w:tc>
          <w:tcPr>
            <w:tcW w:w="1257" w:type="dxa"/>
            <w:hideMark/>
          </w:tcPr>
          <w:p w14:paraId="1C37736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8.74%</w:t>
            </w:r>
          </w:p>
        </w:tc>
        <w:tc>
          <w:tcPr>
            <w:tcW w:w="1467" w:type="dxa"/>
            <w:hideMark/>
          </w:tcPr>
          <w:p w14:paraId="1652DDF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17.92%</w:t>
            </w:r>
          </w:p>
        </w:tc>
        <w:tc>
          <w:tcPr>
            <w:tcW w:w="1330" w:type="dxa"/>
            <w:hideMark/>
          </w:tcPr>
          <w:p w14:paraId="041ABC6E"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4,685,000</w:t>
            </w:r>
          </w:p>
        </w:tc>
        <w:tc>
          <w:tcPr>
            <w:tcW w:w="1181" w:type="dxa"/>
            <w:hideMark/>
          </w:tcPr>
          <w:p w14:paraId="10BB7E10"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03DFE4D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3F5AA1F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38D302D2"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460B970D"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Somalia</w:t>
            </w:r>
          </w:p>
        </w:tc>
        <w:tc>
          <w:tcPr>
            <w:tcW w:w="1509" w:type="dxa"/>
            <w:hideMark/>
          </w:tcPr>
          <w:p w14:paraId="45AEA16B"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0.64%</w:t>
            </w:r>
          </w:p>
        </w:tc>
        <w:tc>
          <w:tcPr>
            <w:tcW w:w="1257" w:type="dxa"/>
            <w:hideMark/>
          </w:tcPr>
          <w:p w14:paraId="57735B9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0.63%</w:t>
            </w:r>
          </w:p>
        </w:tc>
        <w:tc>
          <w:tcPr>
            <w:tcW w:w="1467" w:type="dxa"/>
            <w:hideMark/>
          </w:tcPr>
          <w:p w14:paraId="7F8D81E6"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1.27%</w:t>
            </w:r>
          </w:p>
        </w:tc>
        <w:tc>
          <w:tcPr>
            <w:tcW w:w="1330" w:type="dxa"/>
            <w:hideMark/>
          </w:tcPr>
          <w:p w14:paraId="72BD50C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15,893,220</w:t>
            </w:r>
          </w:p>
        </w:tc>
        <w:tc>
          <w:tcPr>
            <w:tcW w:w="1181" w:type="dxa"/>
            <w:shd w:val="clear" w:color="auto" w:fill="FFC000"/>
            <w:hideMark/>
          </w:tcPr>
          <w:p w14:paraId="63D10F27"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663F26CE"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shd w:val="clear" w:color="auto" w:fill="FFC000"/>
            <w:hideMark/>
          </w:tcPr>
          <w:p w14:paraId="1FC08C4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F1463B" w:rsidRPr="00666001" w14:paraId="51005811" w14:textId="77777777" w:rsidTr="00F1463B">
        <w:tc>
          <w:tcPr>
            <w:cnfStyle w:val="001000000000" w:firstRow="0" w:lastRow="0" w:firstColumn="1" w:lastColumn="0" w:oddVBand="0" w:evenVBand="0" w:oddHBand="0" w:evenHBand="0" w:firstRowFirstColumn="0" w:firstRowLastColumn="0" w:lastRowFirstColumn="0" w:lastRowLastColumn="0"/>
            <w:tcW w:w="1507" w:type="dxa"/>
            <w:hideMark/>
          </w:tcPr>
          <w:p w14:paraId="12200982" w14:textId="77777777" w:rsidR="00F1463B" w:rsidRPr="00945B2F" w:rsidRDefault="00F1463B" w:rsidP="00F1463B">
            <w:pPr>
              <w:rPr>
                <w:rFonts w:eastAsia="Times New Roman" w:cstheme="minorHAnsi"/>
                <w:sz w:val="22"/>
                <w:szCs w:val="22"/>
              </w:rPr>
            </w:pPr>
            <w:r w:rsidRPr="00945B2F">
              <w:rPr>
                <w:rFonts w:eastAsia="Times New Roman" w:cstheme="minorHAnsi"/>
                <w:color w:val="000000"/>
                <w:sz w:val="22"/>
                <w:szCs w:val="22"/>
              </w:rPr>
              <w:t>Sudan</w:t>
            </w:r>
          </w:p>
        </w:tc>
        <w:tc>
          <w:tcPr>
            <w:tcW w:w="1509" w:type="dxa"/>
            <w:hideMark/>
          </w:tcPr>
          <w:p w14:paraId="7219842F"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0.90%</w:t>
            </w:r>
          </w:p>
        </w:tc>
        <w:tc>
          <w:tcPr>
            <w:tcW w:w="1257" w:type="dxa"/>
            <w:hideMark/>
          </w:tcPr>
          <w:p w14:paraId="57F0F59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0.54%</w:t>
            </w:r>
          </w:p>
        </w:tc>
        <w:tc>
          <w:tcPr>
            <w:tcW w:w="1467" w:type="dxa"/>
            <w:hideMark/>
          </w:tcPr>
          <w:p w14:paraId="520B494C"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rPr>
              <w:t>1.44%</w:t>
            </w:r>
          </w:p>
        </w:tc>
        <w:tc>
          <w:tcPr>
            <w:tcW w:w="1330" w:type="dxa"/>
            <w:hideMark/>
          </w:tcPr>
          <w:p w14:paraId="1607CA7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945B2F">
              <w:rPr>
                <w:rFonts w:eastAsia="Times New Roman" w:cstheme="minorHAnsi"/>
                <w:color w:val="000000"/>
                <w:sz w:val="22"/>
                <w:szCs w:val="22"/>
                <w:shd w:val="clear" w:color="auto" w:fill="FFFFFF"/>
              </w:rPr>
              <w:t>43,849,270</w:t>
            </w:r>
          </w:p>
        </w:tc>
        <w:tc>
          <w:tcPr>
            <w:tcW w:w="1181" w:type="dxa"/>
            <w:shd w:val="clear" w:color="auto" w:fill="FFC000"/>
            <w:hideMark/>
          </w:tcPr>
          <w:p w14:paraId="43EF199D"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316" w:type="dxa"/>
            <w:hideMark/>
          </w:tcPr>
          <w:p w14:paraId="46B66278"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223" w:type="dxa"/>
            <w:hideMark/>
          </w:tcPr>
          <w:p w14:paraId="5DEC658A" w14:textId="77777777" w:rsidR="00F1463B" w:rsidRPr="00945B2F" w:rsidRDefault="00F1463B" w:rsidP="00F1463B">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bl>
    <w:p w14:paraId="153F6476" w14:textId="77777777" w:rsidR="00945B2F" w:rsidRPr="00945B2F" w:rsidRDefault="00945B2F" w:rsidP="00945B2F">
      <w:pPr>
        <w:rPr>
          <w:rFonts w:eastAsia="Times New Roman" w:cstheme="minorHAnsi"/>
          <w:color w:val="000000"/>
          <w:sz w:val="19"/>
          <w:szCs w:val="19"/>
        </w:rPr>
      </w:pPr>
    </w:p>
    <w:p w14:paraId="3BFDC601" w14:textId="0458814C" w:rsidR="00945B2F" w:rsidRPr="00945B2F" w:rsidRDefault="00945B2F" w:rsidP="00945B2F">
      <w:pPr>
        <w:rPr>
          <w:rFonts w:eastAsia="Times New Roman" w:cstheme="minorHAnsi"/>
          <w:color w:val="000000"/>
          <w:sz w:val="22"/>
          <w:szCs w:val="22"/>
        </w:rPr>
      </w:pPr>
      <w:r w:rsidRPr="00945B2F">
        <w:rPr>
          <w:rFonts w:eastAsia="Times New Roman" w:cstheme="minorHAnsi"/>
          <w:b/>
          <w:bCs/>
          <w:color w:val="000000"/>
          <w:sz w:val="22"/>
          <w:szCs w:val="22"/>
        </w:rPr>
        <w:t xml:space="preserve">Average </w:t>
      </w:r>
      <w:r w:rsidR="009725C9">
        <w:rPr>
          <w:rFonts w:eastAsia="Times New Roman" w:cstheme="minorHAnsi"/>
          <w:b/>
          <w:bCs/>
          <w:color w:val="000000"/>
          <w:sz w:val="22"/>
          <w:szCs w:val="22"/>
        </w:rPr>
        <w:t>percent</w:t>
      </w:r>
      <w:r w:rsidRPr="00945B2F">
        <w:rPr>
          <w:rFonts w:eastAsia="Times New Roman" w:cstheme="minorHAnsi"/>
          <w:b/>
          <w:bCs/>
          <w:color w:val="000000"/>
          <w:sz w:val="22"/>
          <w:szCs w:val="22"/>
        </w:rPr>
        <w:t xml:space="preserve"> of population who have received 1 dose: 2.01%</w:t>
      </w:r>
      <w:r w:rsidRPr="00945B2F">
        <w:rPr>
          <w:rFonts w:eastAsia="Times New Roman" w:cstheme="minorHAnsi"/>
          <w:b/>
          <w:bCs/>
          <w:color w:val="000000"/>
          <w:sz w:val="22"/>
          <w:szCs w:val="22"/>
        </w:rPr>
        <w:br/>
        <w:t xml:space="preserve">Average </w:t>
      </w:r>
      <w:r w:rsidR="009725C9">
        <w:rPr>
          <w:rFonts w:eastAsia="Times New Roman" w:cstheme="minorHAnsi"/>
          <w:b/>
          <w:bCs/>
          <w:color w:val="000000"/>
          <w:sz w:val="22"/>
          <w:szCs w:val="22"/>
        </w:rPr>
        <w:t>percent</w:t>
      </w:r>
      <w:r w:rsidRPr="00945B2F">
        <w:rPr>
          <w:rFonts w:eastAsia="Times New Roman" w:cstheme="minorHAnsi"/>
          <w:b/>
          <w:bCs/>
          <w:color w:val="000000"/>
          <w:sz w:val="22"/>
          <w:szCs w:val="22"/>
        </w:rPr>
        <w:t xml:space="preserve"> of population who have received 2 doses: 2.44%</w:t>
      </w:r>
    </w:p>
    <w:p w14:paraId="425C7256" w14:textId="246B57AC" w:rsidR="00BF4816" w:rsidRPr="00666001" w:rsidRDefault="00945B2F" w:rsidP="00945B2F">
      <w:pPr>
        <w:jc w:val="both"/>
        <w:rPr>
          <w:rFonts w:eastAsia="Times New Roman" w:cstheme="minorHAnsi"/>
          <w:b/>
          <w:bCs/>
          <w:color w:val="000000"/>
          <w:sz w:val="22"/>
          <w:szCs w:val="22"/>
        </w:rPr>
      </w:pPr>
      <w:r w:rsidRPr="00945B2F">
        <w:rPr>
          <w:rFonts w:eastAsia="Times New Roman" w:cstheme="minorHAnsi"/>
          <w:b/>
          <w:bCs/>
          <w:color w:val="000000"/>
          <w:sz w:val="22"/>
          <w:szCs w:val="22"/>
        </w:rPr>
        <w:t xml:space="preserve">Average </w:t>
      </w:r>
      <w:r w:rsidR="009725C9">
        <w:rPr>
          <w:rFonts w:eastAsia="Times New Roman" w:cstheme="minorHAnsi"/>
          <w:b/>
          <w:bCs/>
          <w:color w:val="000000"/>
          <w:sz w:val="22"/>
          <w:szCs w:val="22"/>
        </w:rPr>
        <w:t>percent</w:t>
      </w:r>
      <w:r w:rsidRPr="00945B2F">
        <w:rPr>
          <w:rFonts w:eastAsia="Times New Roman" w:cstheme="minorHAnsi"/>
          <w:b/>
          <w:bCs/>
          <w:color w:val="000000"/>
          <w:sz w:val="22"/>
          <w:szCs w:val="22"/>
        </w:rPr>
        <w:t xml:space="preserve"> of population vaccinated: 4%</w:t>
      </w:r>
    </w:p>
    <w:p w14:paraId="456F37A8" w14:textId="664EE536" w:rsidR="00666001" w:rsidRDefault="00666001" w:rsidP="00945B2F">
      <w:pPr>
        <w:jc w:val="both"/>
        <w:rPr>
          <w:rFonts w:eastAsia="Times New Roman" w:cstheme="minorHAnsi"/>
          <w:b/>
          <w:bCs/>
          <w:color w:val="000000"/>
          <w:sz w:val="19"/>
          <w:szCs w:val="19"/>
        </w:rPr>
      </w:pPr>
    </w:p>
    <w:p w14:paraId="7BBC364F" w14:textId="7E7C71E7" w:rsidR="00666001" w:rsidRDefault="00666001" w:rsidP="00945B2F">
      <w:pPr>
        <w:jc w:val="both"/>
        <w:rPr>
          <w:rFonts w:eastAsia="Times New Roman" w:cstheme="minorHAnsi"/>
          <w:b/>
          <w:bCs/>
          <w:color w:val="000000"/>
          <w:sz w:val="19"/>
          <w:szCs w:val="19"/>
        </w:rPr>
      </w:pPr>
    </w:p>
    <w:p w14:paraId="072A98D7" w14:textId="08363591" w:rsidR="00666001" w:rsidRDefault="00666001" w:rsidP="00945B2F">
      <w:pPr>
        <w:jc w:val="both"/>
        <w:rPr>
          <w:rFonts w:eastAsia="Times New Roman" w:cstheme="minorHAnsi"/>
          <w:b/>
          <w:bCs/>
          <w:color w:val="000000"/>
          <w:sz w:val="19"/>
          <w:szCs w:val="19"/>
        </w:rPr>
      </w:pPr>
    </w:p>
    <w:p w14:paraId="22B1BDC4" w14:textId="17C9C3A0" w:rsidR="00666001" w:rsidRDefault="00666001" w:rsidP="00945B2F">
      <w:pPr>
        <w:jc w:val="both"/>
        <w:rPr>
          <w:rFonts w:eastAsia="Times New Roman" w:cstheme="minorHAnsi"/>
          <w:b/>
          <w:bCs/>
          <w:color w:val="000000"/>
          <w:sz w:val="19"/>
          <w:szCs w:val="19"/>
        </w:rPr>
      </w:pPr>
    </w:p>
    <w:p w14:paraId="3262862D" w14:textId="08C236E8" w:rsidR="00666001" w:rsidRDefault="00666001" w:rsidP="00945B2F">
      <w:pPr>
        <w:jc w:val="both"/>
        <w:rPr>
          <w:rFonts w:eastAsia="Times New Roman" w:cstheme="minorHAnsi"/>
          <w:b/>
          <w:bCs/>
          <w:color w:val="000000"/>
          <w:sz w:val="19"/>
          <w:szCs w:val="19"/>
        </w:rPr>
      </w:pPr>
    </w:p>
    <w:p w14:paraId="1DC10B7F" w14:textId="11E2B6DF" w:rsidR="00666001" w:rsidRDefault="00666001" w:rsidP="00945B2F">
      <w:pPr>
        <w:jc w:val="both"/>
        <w:rPr>
          <w:rFonts w:eastAsia="Times New Roman" w:cstheme="minorHAnsi"/>
          <w:b/>
          <w:bCs/>
          <w:color w:val="000000"/>
          <w:sz w:val="19"/>
          <w:szCs w:val="19"/>
        </w:rPr>
      </w:pPr>
    </w:p>
    <w:p w14:paraId="418E312C" w14:textId="07014C9D" w:rsidR="00666001" w:rsidRDefault="00666001" w:rsidP="00945B2F">
      <w:pPr>
        <w:jc w:val="both"/>
        <w:rPr>
          <w:rFonts w:eastAsia="Times New Roman" w:cstheme="minorHAnsi"/>
          <w:b/>
          <w:bCs/>
          <w:color w:val="000000"/>
          <w:sz w:val="19"/>
          <w:szCs w:val="19"/>
        </w:rPr>
      </w:pPr>
    </w:p>
    <w:p w14:paraId="57E4DE87" w14:textId="0239C36E" w:rsidR="00666001" w:rsidRDefault="00666001" w:rsidP="00945B2F">
      <w:pPr>
        <w:jc w:val="both"/>
        <w:rPr>
          <w:rFonts w:eastAsia="Times New Roman" w:cstheme="minorHAnsi"/>
          <w:b/>
          <w:bCs/>
          <w:color w:val="000000"/>
          <w:sz w:val="19"/>
          <w:szCs w:val="19"/>
        </w:rPr>
      </w:pPr>
    </w:p>
    <w:p w14:paraId="7D0AF307" w14:textId="281A49DC" w:rsidR="00666001" w:rsidRDefault="00666001" w:rsidP="00945B2F">
      <w:pPr>
        <w:jc w:val="both"/>
        <w:rPr>
          <w:rFonts w:eastAsia="Times New Roman" w:cstheme="minorHAnsi"/>
          <w:b/>
          <w:bCs/>
          <w:color w:val="000000"/>
          <w:sz w:val="19"/>
          <w:szCs w:val="19"/>
        </w:rPr>
      </w:pPr>
    </w:p>
    <w:p w14:paraId="13904023" w14:textId="1FF92F92" w:rsidR="00666001" w:rsidRDefault="00666001" w:rsidP="00945B2F">
      <w:pPr>
        <w:jc w:val="both"/>
        <w:rPr>
          <w:rFonts w:eastAsia="Times New Roman" w:cstheme="minorHAnsi"/>
          <w:b/>
          <w:bCs/>
          <w:color w:val="000000"/>
          <w:sz w:val="19"/>
          <w:szCs w:val="19"/>
        </w:rPr>
      </w:pPr>
    </w:p>
    <w:p w14:paraId="35A2B800" w14:textId="3E79A82C" w:rsidR="00666001" w:rsidRDefault="00666001" w:rsidP="00945B2F">
      <w:pPr>
        <w:jc w:val="both"/>
        <w:rPr>
          <w:rFonts w:eastAsia="Times New Roman" w:cstheme="minorHAnsi"/>
          <w:b/>
          <w:bCs/>
          <w:color w:val="000000"/>
          <w:sz w:val="19"/>
          <w:szCs w:val="19"/>
        </w:rPr>
      </w:pPr>
    </w:p>
    <w:p w14:paraId="5C358775" w14:textId="0C9A8DCA" w:rsidR="00666001" w:rsidRDefault="00666001" w:rsidP="00945B2F">
      <w:pPr>
        <w:jc w:val="both"/>
        <w:rPr>
          <w:rFonts w:eastAsia="Times New Roman" w:cstheme="minorHAnsi"/>
          <w:b/>
          <w:bCs/>
          <w:color w:val="000000"/>
          <w:sz w:val="19"/>
          <w:szCs w:val="19"/>
        </w:rPr>
      </w:pPr>
    </w:p>
    <w:p w14:paraId="203E42A5" w14:textId="0F8F79A1" w:rsidR="00666001" w:rsidRDefault="00666001" w:rsidP="00945B2F">
      <w:pPr>
        <w:jc w:val="both"/>
        <w:rPr>
          <w:rFonts w:eastAsia="Times New Roman" w:cstheme="minorHAnsi"/>
          <w:b/>
          <w:bCs/>
          <w:color w:val="000000"/>
          <w:sz w:val="19"/>
          <w:szCs w:val="19"/>
        </w:rPr>
      </w:pPr>
    </w:p>
    <w:p w14:paraId="0E39C61F" w14:textId="59724251" w:rsidR="00666001" w:rsidRDefault="00666001" w:rsidP="00945B2F">
      <w:pPr>
        <w:jc w:val="both"/>
        <w:rPr>
          <w:rFonts w:eastAsia="Times New Roman" w:cstheme="minorHAnsi"/>
          <w:b/>
          <w:bCs/>
          <w:color w:val="000000"/>
          <w:sz w:val="19"/>
          <w:szCs w:val="19"/>
        </w:rPr>
      </w:pPr>
    </w:p>
    <w:p w14:paraId="7A01B25D" w14:textId="2E24A17B" w:rsidR="00666001" w:rsidRDefault="00666001" w:rsidP="00945B2F">
      <w:pPr>
        <w:jc w:val="both"/>
        <w:rPr>
          <w:rFonts w:eastAsia="Times New Roman" w:cstheme="minorHAnsi"/>
          <w:b/>
          <w:bCs/>
          <w:color w:val="000000"/>
          <w:sz w:val="19"/>
          <w:szCs w:val="19"/>
        </w:rPr>
      </w:pPr>
    </w:p>
    <w:sectPr w:rsidR="00666001" w:rsidSect="00A64644">
      <w:headerReference w:type="default" r:id="rId36"/>
      <w:footerReference w:type="even" r:id="rId37"/>
      <w:footerReference w:type="default" r:id="rId38"/>
      <w:headerReference w:type="first" r:id="rId39"/>
      <w:pgSz w:w="12240" w:h="15840"/>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4402" w14:textId="77777777" w:rsidR="000E7A09" w:rsidRDefault="000E7A09" w:rsidP="00BF4816">
      <w:r>
        <w:separator/>
      </w:r>
    </w:p>
  </w:endnote>
  <w:endnote w:type="continuationSeparator" w:id="0">
    <w:p w14:paraId="78D079F3" w14:textId="77777777" w:rsidR="000E7A09" w:rsidRDefault="000E7A09" w:rsidP="00BF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6766861"/>
      <w:docPartObj>
        <w:docPartGallery w:val="Page Numbers (Bottom of Page)"/>
        <w:docPartUnique/>
      </w:docPartObj>
    </w:sdtPr>
    <w:sdtEndPr>
      <w:rPr>
        <w:rStyle w:val="PageNumber"/>
      </w:rPr>
    </w:sdtEndPr>
    <w:sdtContent>
      <w:p w14:paraId="5CA5DAA1" w14:textId="4CE7EC01" w:rsidR="00DE67E4" w:rsidRDefault="00DE67E4" w:rsidP="00AA19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7588D" w14:textId="77777777" w:rsidR="00DE67E4" w:rsidRDefault="00DE67E4" w:rsidP="00DE67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383802"/>
      <w:docPartObj>
        <w:docPartGallery w:val="Page Numbers (Bottom of Page)"/>
        <w:docPartUnique/>
      </w:docPartObj>
    </w:sdtPr>
    <w:sdtEndPr>
      <w:rPr>
        <w:rStyle w:val="PageNumber"/>
      </w:rPr>
    </w:sdtEndPr>
    <w:sdtContent>
      <w:p w14:paraId="151023A6" w14:textId="0416F64C" w:rsidR="00DE67E4" w:rsidRDefault="00DE67E4" w:rsidP="00AA19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8C68A5" w14:textId="77777777" w:rsidR="00DE67E4" w:rsidRDefault="00DE67E4" w:rsidP="00DE67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5FF3" w14:textId="77777777" w:rsidR="000E7A09" w:rsidRDefault="000E7A09" w:rsidP="00BF4816">
      <w:r>
        <w:separator/>
      </w:r>
    </w:p>
  </w:footnote>
  <w:footnote w:type="continuationSeparator" w:id="0">
    <w:p w14:paraId="4A68575C" w14:textId="77777777" w:rsidR="000E7A09" w:rsidRDefault="000E7A09" w:rsidP="00BF4816">
      <w:r>
        <w:continuationSeparator/>
      </w:r>
    </w:p>
  </w:footnote>
  <w:footnote w:id="1">
    <w:p w14:paraId="1CD1778E" w14:textId="699CE50A" w:rsidR="00945B2F" w:rsidRPr="00AB1101" w:rsidRDefault="00945B2F" w:rsidP="00945B2F">
      <w:pPr>
        <w:rPr>
          <w:rFonts w:ascii="Calibri" w:eastAsia="Times New Roman" w:hAnsi="Calibri" w:cs="Calibri"/>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r w:rsidRPr="00AB1101">
        <w:rPr>
          <w:rFonts w:ascii="Calibri" w:eastAsia="Times New Roman" w:hAnsi="Calibri" w:cs="Calibri"/>
          <w:color w:val="000000"/>
          <w:sz w:val="18"/>
          <w:szCs w:val="18"/>
        </w:rPr>
        <w:t>These countries comprise Yemen, Afghanistan, Syria, Democratic Republic of the Congo (DRC), Ethiopia, Burkina Faso, South Sudan, Nigeria, Venezuela, Mozambique, Cameroon, Central African Republic (CAR), Chad, Colombia, Lebanon, Mali, Niger, Palestine, Somalia, and Sudan.</w:t>
      </w:r>
    </w:p>
  </w:footnote>
  <w:footnote w:id="2">
    <w:p w14:paraId="7642B7A3" w14:textId="6E003D54" w:rsidR="00945B2F" w:rsidRPr="00AB1101" w:rsidRDefault="00945B2F" w:rsidP="00945B2F">
      <w:pPr>
        <w:rPr>
          <w:rFonts w:ascii="Calibri" w:eastAsia="Times New Roman" w:hAnsi="Calibri" w:cs="Calibri"/>
          <w:color w:val="000000"/>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r w:rsidRPr="00AB1101">
        <w:rPr>
          <w:rFonts w:ascii="Calibri" w:eastAsia="Times New Roman" w:hAnsi="Calibri" w:cs="Calibri"/>
          <w:color w:val="000000"/>
          <w:sz w:val="18"/>
          <w:szCs w:val="18"/>
        </w:rPr>
        <w:t>Based on data from Our World in Data (2021)</w:t>
      </w:r>
    </w:p>
  </w:footnote>
  <w:footnote w:id="3">
    <w:p w14:paraId="293DCFC2" w14:textId="27E9ED38" w:rsidR="00945B2F" w:rsidRPr="00AB1101" w:rsidRDefault="00945B2F" w:rsidP="00945B2F">
      <w:pPr>
        <w:rPr>
          <w:rFonts w:ascii="Calibri" w:eastAsia="Times New Roman" w:hAnsi="Calibri" w:cs="Calibri"/>
          <w:color w:val="000000"/>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r w:rsidRPr="00AB1101">
        <w:rPr>
          <w:rFonts w:ascii="Calibri" w:eastAsia="Times New Roman" w:hAnsi="Calibri" w:cs="Calibri"/>
          <w:color w:val="000000"/>
          <w:sz w:val="18"/>
          <w:szCs w:val="18"/>
        </w:rPr>
        <w:t>Last updated 09/10/21</w:t>
      </w:r>
    </w:p>
  </w:footnote>
  <w:footnote w:id="4">
    <w:p w14:paraId="75DD20AB" w14:textId="266DD345" w:rsidR="00945B2F" w:rsidRPr="00AB1101" w:rsidRDefault="00945B2F" w:rsidP="00945B2F">
      <w:pPr>
        <w:rPr>
          <w:rFonts w:ascii="Calibri" w:eastAsia="Times New Roman" w:hAnsi="Calibri" w:cs="Calibri"/>
          <w:color w:val="000000"/>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r w:rsidRPr="00AB1101">
        <w:rPr>
          <w:rFonts w:ascii="Calibri" w:eastAsia="Times New Roman" w:hAnsi="Calibri" w:cs="Calibri"/>
          <w:color w:val="000000"/>
          <w:sz w:val="18"/>
          <w:szCs w:val="18"/>
        </w:rPr>
        <w:t>Based on World Bank data (2020)</w:t>
      </w:r>
    </w:p>
  </w:footnote>
  <w:footnote w:id="5">
    <w:p w14:paraId="5BAD0987" w14:textId="687B1278" w:rsidR="00945B2F" w:rsidRPr="00AB1101" w:rsidRDefault="00945B2F" w:rsidP="00945B2F">
      <w:pPr>
        <w:rPr>
          <w:rFonts w:ascii="Calibri" w:hAnsi="Calibri" w:cs="Calibri"/>
          <w:color w:val="000000"/>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hyperlink r:id="rId1" w:history="1">
        <w:r w:rsidRPr="00AB1101">
          <w:rPr>
            <w:rStyle w:val="Hyperlink"/>
            <w:rFonts w:ascii="Calibri" w:hAnsi="Calibri" w:cs="Calibri"/>
            <w:color w:val="1155CC"/>
            <w:sz w:val="18"/>
            <w:szCs w:val="18"/>
          </w:rPr>
          <w:t>Source: OCHA/HDX COVID-19 Data</w:t>
        </w:r>
      </w:hyperlink>
    </w:p>
  </w:footnote>
  <w:footnote w:id="6">
    <w:p w14:paraId="268D8421" w14:textId="0886D9FC" w:rsidR="00945B2F" w:rsidRPr="00AB1101" w:rsidRDefault="00945B2F" w:rsidP="00945B2F">
      <w:pPr>
        <w:rPr>
          <w:rFonts w:ascii="Calibri" w:hAnsi="Calibri" w:cs="Calibri"/>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hyperlink r:id="rId2" w:history="1">
        <w:r w:rsidRPr="00AB1101">
          <w:rPr>
            <w:rStyle w:val="Hyperlink"/>
            <w:rFonts w:ascii="Calibri" w:hAnsi="Calibri" w:cs="Calibri"/>
            <w:color w:val="1155CC"/>
            <w:sz w:val="18"/>
            <w:szCs w:val="18"/>
          </w:rPr>
          <w:t>Global Climate Risk Index 2021</w:t>
        </w:r>
      </w:hyperlink>
    </w:p>
  </w:footnote>
  <w:footnote w:id="7">
    <w:p w14:paraId="28A69DB4" w14:textId="65DC5936" w:rsidR="00945B2F" w:rsidRPr="00AB1101" w:rsidRDefault="00945B2F" w:rsidP="00AB1101">
      <w:pPr>
        <w:pStyle w:val="NormalWeb"/>
        <w:spacing w:before="0" w:beforeAutospacing="0" w:after="0" w:afterAutospacing="0"/>
        <w:rPr>
          <w:rFonts w:ascii="Calibri" w:hAnsi="Calibri" w:cs="Calibri"/>
          <w:sz w:val="18"/>
          <w:szCs w:val="18"/>
        </w:rPr>
      </w:pPr>
      <w:r w:rsidRPr="00AB1101">
        <w:rPr>
          <w:rStyle w:val="FootnoteReference"/>
          <w:rFonts w:ascii="Calibri" w:hAnsi="Calibri" w:cs="Calibri"/>
          <w:sz w:val="18"/>
          <w:szCs w:val="18"/>
        </w:rPr>
        <w:footnoteRef/>
      </w:r>
      <w:r w:rsidRPr="00AB1101">
        <w:rPr>
          <w:rFonts w:ascii="Calibri" w:hAnsi="Calibri" w:cs="Calibri"/>
          <w:sz w:val="18"/>
          <w:szCs w:val="18"/>
        </w:rPr>
        <w:t xml:space="preserve"> </w:t>
      </w:r>
      <w:r w:rsidR="00F1463B">
        <w:rPr>
          <w:rFonts w:ascii="Calibri" w:hAnsi="Calibri" w:cs="Calibri"/>
          <w:sz w:val="18"/>
          <w:szCs w:val="18"/>
        </w:rPr>
        <w:t>Based on 20 countries with highest</w:t>
      </w:r>
      <w:r w:rsidR="009725C9" w:rsidRPr="00AB1101">
        <w:rPr>
          <w:rFonts w:ascii="Calibri" w:hAnsi="Calibri" w:cs="Calibri"/>
          <w:sz w:val="18"/>
          <w:szCs w:val="18"/>
        </w:rPr>
        <w:t xml:space="preserve"> conflict-related fatalities</w:t>
      </w:r>
      <w:r w:rsidR="00F1463B">
        <w:rPr>
          <w:rFonts w:ascii="Calibri" w:hAnsi="Calibri" w:cs="Calibri"/>
          <w:sz w:val="18"/>
          <w:szCs w:val="18"/>
        </w:rPr>
        <w:t xml:space="preserve">, using data taken </w:t>
      </w:r>
      <w:r w:rsidR="009725C9" w:rsidRPr="00AB1101">
        <w:rPr>
          <w:rFonts w:ascii="Calibri" w:hAnsi="Calibri" w:cs="Calibri"/>
          <w:sz w:val="18"/>
          <w:szCs w:val="18"/>
        </w:rPr>
        <w:t xml:space="preserve">and analyzed from </w:t>
      </w:r>
      <w:hyperlink r:id="rId3" w:history="1">
        <w:r w:rsidR="009725C9" w:rsidRPr="00AB1101">
          <w:rPr>
            <w:rStyle w:val="Hyperlink"/>
            <w:rFonts w:ascii="Calibri" w:hAnsi="Calibri" w:cs="Calibri"/>
            <w:sz w:val="18"/>
            <w:szCs w:val="18"/>
          </w:rPr>
          <w:t>ACLED’s data set</w:t>
        </w:r>
      </w:hyperlink>
      <w:r w:rsidR="00F1463B">
        <w:rPr>
          <w:rStyle w:val="Hyperlink"/>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EB32" w14:textId="189C299C" w:rsidR="00BF4816" w:rsidRPr="00BF4816" w:rsidRDefault="00BF4816" w:rsidP="00BF4816">
    <w:pPr>
      <w:spacing w:before="240" w:after="240"/>
      <w:ind w:left="2160"/>
      <w:jc w:val="both"/>
      <w:rPr>
        <w:rFonts w:ascii="Calibri" w:eastAsia="Times New Roman" w:hAnsi="Calibri" w:cs="Calibri"/>
        <w:color w:val="000000"/>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48EE" w14:textId="45AA975E" w:rsidR="00A64644" w:rsidRPr="00A64644" w:rsidRDefault="00EA1EE5" w:rsidP="00A64644">
    <w:pPr>
      <w:spacing w:before="240" w:after="240"/>
      <w:ind w:left="2160"/>
      <w:jc w:val="both"/>
      <w:rPr>
        <w:rFonts w:ascii="Calibri" w:eastAsia="Times New Roman" w:hAnsi="Calibri" w:cs="Calibri"/>
        <w:b/>
        <w:bCs/>
        <w:color w:val="FFFFFF" w:themeColor="background1"/>
        <w:sz w:val="52"/>
        <w:szCs w:val="52"/>
      </w:rPr>
    </w:pPr>
    <w:r w:rsidRPr="00A64644">
      <w:rPr>
        <w:rFonts w:cstheme="minorHAnsi"/>
        <w:noProof/>
        <w:color w:val="FFFFFF" w:themeColor="background1"/>
        <w:sz w:val="52"/>
        <w:szCs w:val="52"/>
        <w:u w:color="FFC000"/>
      </w:rPr>
      <w:drawing>
        <wp:anchor distT="0" distB="0" distL="114300" distR="114300" simplePos="0" relativeHeight="251661312" behindDoc="0" locked="0" layoutInCell="1" allowOverlap="1" wp14:anchorId="6B999CF3" wp14:editId="198D5DE9">
          <wp:simplePos x="0" y="0"/>
          <wp:positionH relativeFrom="margin">
            <wp:posOffset>-285750</wp:posOffset>
          </wp:positionH>
          <wp:positionV relativeFrom="paragraph">
            <wp:posOffset>152400</wp:posOffset>
          </wp:positionV>
          <wp:extent cx="1327785" cy="1797493"/>
          <wp:effectExtent l="0" t="0" r="5715"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7785" cy="1797493"/>
                  </a:xfrm>
                  <a:prstGeom prst="rect">
                    <a:avLst/>
                  </a:prstGeom>
                  <a:noFill/>
                  <a:ln>
                    <a:noFill/>
                  </a:ln>
                </pic:spPr>
              </pic:pic>
            </a:graphicData>
          </a:graphic>
          <wp14:sizeRelH relativeFrom="page">
            <wp14:pctWidth>0</wp14:pctWidth>
          </wp14:sizeRelH>
          <wp14:sizeRelV relativeFrom="page">
            <wp14:pctHeight>0</wp14:pctHeight>
          </wp14:sizeRelV>
        </wp:anchor>
      </w:drawing>
    </w:r>
    <w:r w:rsidR="00A64644" w:rsidRPr="00A64644">
      <w:rPr>
        <w:rFonts w:cstheme="minorHAnsi"/>
        <w:noProof/>
        <w:color w:val="FFFFFF" w:themeColor="background1"/>
        <w:u w:color="FFC000"/>
      </w:rPr>
      <mc:AlternateContent>
        <mc:Choice Requires="wps">
          <w:drawing>
            <wp:anchor distT="0" distB="0" distL="114300" distR="114300" simplePos="0" relativeHeight="251660287" behindDoc="1" locked="0" layoutInCell="1" allowOverlap="1" wp14:anchorId="72ABAF80" wp14:editId="4B79D093">
              <wp:simplePos x="0" y="0"/>
              <wp:positionH relativeFrom="page">
                <wp:posOffset>-18107</wp:posOffset>
              </wp:positionH>
              <wp:positionV relativeFrom="paragraph">
                <wp:posOffset>-181069</wp:posOffset>
              </wp:positionV>
              <wp:extent cx="7912729" cy="2369279"/>
              <wp:effectExtent l="0" t="0" r="0" b="571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729" cy="2369279"/>
                      </a:xfrm>
                      <a:prstGeom prst="rect">
                        <a:avLst/>
                      </a:prstGeom>
                      <a:solidFill>
                        <a:schemeClr val="tx1"/>
                      </a:solidFill>
                      <a:ln w="9525">
                        <a:noFill/>
                        <a:miter lim="800000"/>
                        <a:headEnd/>
                        <a:tailEnd/>
                      </a:ln>
                      <a:effectLst>
                        <a:softEdge rad="12700"/>
                      </a:effectLst>
                    </wps:spPr>
                    <wps:txbx>
                      <w:txbxContent>
                        <w:p w14:paraId="19DC4954" w14:textId="75D60575" w:rsidR="00A64644" w:rsidRPr="004E2146" w:rsidRDefault="00A64644" w:rsidP="00A64644">
                          <w:pPr>
                            <w:spacing w:line="216" w:lineRule="auto"/>
                            <w:ind w:left="2160"/>
                            <w:rPr>
                              <w:b/>
                              <w:bCs/>
                              <w:color w:val="FFFFFF" w:themeColor="background1"/>
                              <w:sz w:val="76"/>
                              <w:szCs w:val="7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BAF80" id="_x0000_t202" coordsize="21600,21600" o:spt="202" path="m,l,21600r21600,l21600,xe">
              <v:stroke joinstyle="miter"/>
              <v:path gradientshapeok="t" o:connecttype="rect"/>
            </v:shapetype>
            <v:shape id="Text Box 60" o:spid="_x0000_s1034" type="#_x0000_t202" style="position:absolute;left:0;text-align:left;margin-left:-1.45pt;margin-top:-14.25pt;width:623.05pt;height:186.55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" fillcolor="black [3213]" stroked="f">
              <v:textbox>
                <w:txbxContent>
                  <w:p w14:paraId="19DC4954" w14:textId="75D60575" w:rsidR="00A64644" w:rsidRPr="004E2146" w:rsidRDefault="00A64644" w:rsidP="00A64644">
                    <w:pPr>
                      <w:spacing w:line="216" w:lineRule="auto"/>
                      <w:ind w:left="2160"/>
                      <w:rPr>
                        <w:b/>
                        <w:bCs/>
                        <w:color w:val="FFFFFF" w:themeColor="background1"/>
                        <w:sz w:val="76"/>
                        <w:szCs w:val="76"/>
                      </w:rPr>
                    </w:pPr>
                  </w:p>
                </w:txbxContent>
              </v:textbox>
              <w10:wrap anchorx="page"/>
            </v:shape>
          </w:pict>
        </mc:Fallback>
      </mc:AlternateContent>
    </w:r>
    <w:r w:rsidR="00A64644" w:rsidRPr="00BF4816">
      <w:rPr>
        <w:rFonts w:ascii="Calibri" w:eastAsia="Times New Roman" w:hAnsi="Calibri" w:cs="Calibri"/>
        <w:b/>
        <w:bCs/>
        <w:color w:val="FFFFFF" w:themeColor="background1"/>
        <w:sz w:val="52"/>
        <w:szCs w:val="52"/>
      </w:rPr>
      <w:t xml:space="preserve">The </w:t>
    </w:r>
    <w:r w:rsidR="00A64644" w:rsidRPr="00A64644">
      <w:rPr>
        <w:rFonts w:ascii="Calibri" w:eastAsia="Times New Roman" w:hAnsi="Calibri" w:cs="Calibri"/>
        <w:b/>
        <w:bCs/>
        <w:color w:val="FFFFFF" w:themeColor="background1"/>
        <w:sz w:val="52"/>
        <w:szCs w:val="52"/>
      </w:rPr>
      <w:t>C</w:t>
    </w:r>
    <w:r w:rsidR="00A64644" w:rsidRPr="00BF4816">
      <w:rPr>
        <w:rFonts w:ascii="Calibri" w:eastAsia="Times New Roman" w:hAnsi="Calibri" w:cs="Calibri"/>
        <w:b/>
        <w:bCs/>
        <w:color w:val="FFFFFF" w:themeColor="background1"/>
        <w:sz w:val="52"/>
        <w:szCs w:val="52"/>
      </w:rPr>
      <w:t xml:space="preserve">ommunities </w:t>
    </w:r>
    <w:r w:rsidR="00A64644" w:rsidRPr="00A64644">
      <w:rPr>
        <w:rFonts w:ascii="Calibri" w:eastAsia="Times New Roman" w:hAnsi="Calibri" w:cs="Calibri"/>
        <w:b/>
        <w:bCs/>
        <w:color w:val="FFFFFF" w:themeColor="background1"/>
        <w:sz w:val="52"/>
        <w:szCs w:val="52"/>
      </w:rPr>
      <w:t>W</w:t>
    </w:r>
    <w:r w:rsidR="00A64644" w:rsidRPr="00BF4816">
      <w:rPr>
        <w:rFonts w:ascii="Calibri" w:eastAsia="Times New Roman" w:hAnsi="Calibri" w:cs="Calibri"/>
        <w:b/>
        <w:bCs/>
        <w:color w:val="FFFFFF" w:themeColor="background1"/>
        <w:sz w:val="52"/>
        <w:szCs w:val="52"/>
      </w:rPr>
      <w:t xml:space="preserve">e’ve </w:t>
    </w:r>
    <w:r w:rsidR="00A64644" w:rsidRPr="00A64644">
      <w:rPr>
        <w:rFonts w:ascii="Calibri" w:eastAsia="Times New Roman" w:hAnsi="Calibri" w:cs="Calibri"/>
        <w:b/>
        <w:bCs/>
        <w:color w:val="FFFFFF" w:themeColor="background1"/>
        <w:sz w:val="52"/>
        <w:szCs w:val="52"/>
      </w:rPr>
      <w:t>L</w:t>
    </w:r>
    <w:r w:rsidR="00A64644" w:rsidRPr="00BF4816">
      <w:rPr>
        <w:rFonts w:ascii="Calibri" w:eastAsia="Times New Roman" w:hAnsi="Calibri" w:cs="Calibri"/>
        <w:b/>
        <w:bCs/>
        <w:color w:val="FFFFFF" w:themeColor="background1"/>
        <w:sz w:val="52"/>
        <w:szCs w:val="52"/>
      </w:rPr>
      <w:t xml:space="preserve">eft </w:t>
    </w:r>
    <w:r w:rsidR="00A64644" w:rsidRPr="00A64644">
      <w:rPr>
        <w:rFonts w:ascii="Calibri" w:eastAsia="Times New Roman" w:hAnsi="Calibri" w:cs="Calibri"/>
        <w:b/>
        <w:bCs/>
        <w:color w:val="FFFFFF" w:themeColor="background1"/>
        <w:sz w:val="52"/>
        <w:szCs w:val="52"/>
      </w:rPr>
      <w:t>B</w:t>
    </w:r>
    <w:r w:rsidR="00A64644" w:rsidRPr="00BF4816">
      <w:rPr>
        <w:rFonts w:ascii="Calibri" w:eastAsia="Times New Roman" w:hAnsi="Calibri" w:cs="Calibri"/>
        <w:b/>
        <w:bCs/>
        <w:color w:val="FFFFFF" w:themeColor="background1"/>
        <w:sz w:val="52"/>
        <w:szCs w:val="52"/>
      </w:rPr>
      <w:t xml:space="preserve">ehind: </w:t>
    </w:r>
  </w:p>
  <w:p w14:paraId="7A46ABEC" w14:textId="26154DE9" w:rsidR="00A64644" w:rsidRPr="00A64644" w:rsidRDefault="00A64644" w:rsidP="00A64644">
    <w:pPr>
      <w:spacing w:before="240" w:after="240"/>
      <w:ind w:left="2160"/>
      <w:rPr>
        <w:rFonts w:ascii="Calibri" w:eastAsia="Times New Roman" w:hAnsi="Calibri" w:cs="Calibri"/>
        <w:color w:val="FFFFFF" w:themeColor="background1"/>
        <w:sz w:val="50"/>
        <w:szCs w:val="50"/>
      </w:rPr>
    </w:pPr>
    <w:r w:rsidRPr="00BF4816">
      <w:rPr>
        <w:rFonts w:ascii="Calibri" w:eastAsia="Times New Roman" w:hAnsi="Calibri" w:cs="Calibri"/>
        <w:color w:val="FFFFFF" w:themeColor="background1"/>
        <w:sz w:val="50"/>
        <w:szCs w:val="50"/>
      </w:rPr>
      <w:t>IRC’s recommendations for a</w:t>
    </w:r>
    <w:r w:rsidR="004567E4">
      <w:rPr>
        <w:rFonts w:ascii="Calibri" w:eastAsia="Times New Roman" w:hAnsi="Calibri" w:cs="Calibri"/>
        <w:color w:val="FFFFFF" w:themeColor="background1"/>
        <w:sz w:val="50"/>
        <w:szCs w:val="50"/>
      </w:rPr>
      <w:t xml:space="preserve">n inclusive and equitable </w:t>
    </w:r>
    <w:r w:rsidRPr="00BF4816">
      <w:rPr>
        <w:rFonts w:ascii="Calibri" w:eastAsia="Times New Roman" w:hAnsi="Calibri" w:cs="Calibri"/>
        <w:color w:val="FFFFFF" w:themeColor="background1"/>
        <w:sz w:val="50"/>
        <w:szCs w:val="50"/>
      </w:rPr>
      <w:t>global COVID-19 response</w:t>
    </w:r>
  </w:p>
  <w:p w14:paraId="043E784C" w14:textId="09C9C172" w:rsidR="00A64644" w:rsidRPr="00A64644" w:rsidRDefault="00A64644" w:rsidP="00A64644">
    <w:pPr>
      <w:spacing w:before="240" w:after="240"/>
      <w:ind w:left="2160"/>
      <w:jc w:val="both"/>
      <w:rPr>
        <w:rFonts w:ascii="Calibri" w:eastAsia="Times New Roman" w:hAnsi="Calibri" w:cs="Calibri"/>
        <w:color w:val="FFFFFF" w:themeColor="background1"/>
        <w:sz w:val="30"/>
        <w:szCs w:val="30"/>
      </w:rPr>
    </w:pPr>
    <w:r w:rsidRPr="00A64644">
      <w:rPr>
        <w:rFonts w:ascii="Calibri" w:eastAsia="Times New Roman" w:hAnsi="Calibri" w:cs="Calibri"/>
        <w:color w:val="FFFFFF" w:themeColor="background1"/>
        <w:sz w:val="30"/>
        <w:szCs w:val="30"/>
      </w:rPr>
      <w:t>September 2021</w:t>
    </w:r>
  </w:p>
  <w:p w14:paraId="679FBEB8" w14:textId="77777777" w:rsidR="00A64644" w:rsidRPr="00A64644" w:rsidRDefault="00A64644">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11C4"/>
    <w:multiLevelType w:val="multilevel"/>
    <w:tmpl w:val="9878C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35DA8"/>
    <w:multiLevelType w:val="hybridMultilevel"/>
    <w:tmpl w:val="9118E25A"/>
    <w:lvl w:ilvl="0" w:tplc="5F583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16"/>
    <w:rsid w:val="000A2ED3"/>
    <w:rsid w:val="000E7A09"/>
    <w:rsid w:val="002A685B"/>
    <w:rsid w:val="002D3099"/>
    <w:rsid w:val="00390E14"/>
    <w:rsid w:val="00442CE1"/>
    <w:rsid w:val="004567E4"/>
    <w:rsid w:val="004C6BA9"/>
    <w:rsid w:val="00520DA2"/>
    <w:rsid w:val="005711C2"/>
    <w:rsid w:val="00666001"/>
    <w:rsid w:val="00685794"/>
    <w:rsid w:val="0070080F"/>
    <w:rsid w:val="0071250B"/>
    <w:rsid w:val="007C1AB3"/>
    <w:rsid w:val="00945B2F"/>
    <w:rsid w:val="009725C9"/>
    <w:rsid w:val="00986A5B"/>
    <w:rsid w:val="00A36FF5"/>
    <w:rsid w:val="00A64644"/>
    <w:rsid w:val="00AB1101"/>
    <w:rsid w:val="00AE5BF8"/>
    <w:rsid w:val="00B26873"/>
    <w:rsid w:val="00BF4816"/>
    <w:rsid w:val="00DE67E4"/>
    <w:rsid w:val="00EA1EE5"/>
    <w:rsid w:val="00ED372E"/>
    <w:rsid w:val="00F1463B"/>
    <w:rsid w:val="00FB2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711A"/>
  <w15:chartTrackingRefBased/>
  <w15:docId w15:val="{4C57C997-4DF0-8741-9126-9B1527A8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81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4816"/>
    <w:rPr>
      <w:color w:val="0000FF"/>
      <w:u w:val="single"/>
    </w:rPr>
  </w:style>
  <w:style w:type="paragraph" w:styleId="Header">
    <w:name w:val="header"/>
    <w:basedOn w:val="Normal"/>
    <w:link w:val="HeaderChar"/>
    <w:uiPriority w:val="99"/>
    <w:unhideWhenUsed/>
    <w:rsid w:val="00BF4816"/>
    <w:pPr>
      <w:tabs>
        <w:tab w:val="center" w:pos="4680"/>
        <w:tab w:val="right" w:pos="9360"/>
      </w:tabs>
    </w:pPr>
  </w:style>
  <w:style w:type="character" w:customStyle="1" w:styleId="HeaderChar">
    <w:name w:val="Header Char"/>
    <w:basedOn w:val="DefaultParagraphFont"/>
    <w:link w:val="Header"/>
    <w:uiPriority w:val="99"/>
    <w:rsid w:val="00BF4816"/>
  </w:style>
  <w:style w:type="paragraph" w:styleId="Footer">
    <w:name w:val="footer"/>
    <w:basedOn w:val="Normal"/>
    <w:link w:val="FooterChar"/>
    <w:uiPriority w:val="99"/>
    <w:unhideWhenUsed/>
    <w:rsid w:val="00BF4816"/>
    <w:pPr>
      <w:tabs>
        <w:tab w:val="center" w:pos="4680"/>
        <w:tab w:val="right" w:pos="9360"/>
      </w:tabs>
    </w:pPr>
  </w:style>
  <w:style w:type="character" w:customStyle="1" w:styleId="FooterChar">
    <w:name w:val="Footer Char"/>
    <w:basedOn w:val="DefaultParagraphFont"/>
    <w:link w:val="Footer"/>
    <w:uiPriority w:val="99"/>
    <w:rsid w:val="00BF4816"/>
  </w:style>
  <w:style w:type="character" w:styleId="PageNumber">
    <w:name w:val="page number"/>
    <w:basedOn w:val="DefaultParagraphFont"/>
    <w:uiPriority w:val="99"/>
    <w:semiHidden/>
    <w:unhideWhenUsed/>
    <w:rsid w:val="00DE67E4"/>
  </w:style>
  <w:style w:type="paragraph" w:styleId="ListParagraph">
    <w:name w:val="List Paragraph"/>
    <w:basedOn w:val="Normal"/>
    <w:uiPriority w:val="34"/>
    <w:qFormat/>
    <w:rsid w:val="00A64644"/>
    <w:pPr>
      <w:ind w:left="720"/>
      <w:contextualSpacing/>
    </w:pPr>
  </w:style>
  <w:style w:type="paragraph" w:styleId="Caption">
    <w:name w:val="caption"/>
    <w:basedOn w:val="Normal"/>
    <w:next w:val="Normal"/>
    <w:uiPriority w:val="35"/>
    <w:unhideWhenUsed/>
    <w:qFormat/>
    <w:rsid w:val="00390E14"/>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945B2F"/>
    <w:rPr>
      <w:sz w:val="20"/>
      <w:szCs w:val="20"/>
    </w:rPr>
  </w:style>
  <w:style w:type="character" w:customStyle="1" w:styleId="FootnoteTextChar">
    <w:name w:val="Footnote Text Char"/>
    <w:basedOn w:val="DefaultParagraphFont"/>
    <w:link w:val="FootnoteText"/>
    <w:uiPriority w:val="99"/>
    <w:semiHidden/>
    <w:rsid w:val="00945B2F"/>
    <w:rPr>
      <w:sz w:val="20"/>
      <w:szCs w:val="20"/>
    </w:rPr>
  </w:style>
  <w:style w:type="character" w:styleId="FootnoteReference">
    <w:name w:val="footnote reference"/>
    <w:basedOn w:val="DefaultParagraphFont"/>
    <w:uiPriority w:val="99"/>
    <w:semiHidden/>
    <w:unhideWhenUsed/>
    <w:rsid w:val="00945B2F"/>
    <w:rPr>
      <w:vertAlign w:val="superscript"/>
    </w:rPr>
  </w:style>
  <w:style w:type="table" w:styleId="PlainTable5">
    <w:name w:val="Plain Table 5"/>
    <w:basedOn w:val="TableNormal"/>
    <w:uiPriority w:val="45"/>
    <w:rsid w:val="0066600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660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600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600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660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660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660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660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660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7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683">
      <w:bodyDiv w:val="1"/>
      <w:marLeft w:val="0"/>
      <w:marRight w:val="0"/>
      <w:marTop w:val="0"/>
      <w:marBottom w:val="0"/>
      <w:divBdr>
        <w:top w:val="none" w:sz="0" w:space="0" w:color="auto"/>
        <w:left w:val="none" w:sz="0" w:space="0" w:color="auto"/>
        <w:bottom w:val="none" w:sz="0" w:space="0" w:color="auto"/>
        <w:right w:val="none" w:sz="0" w:space="0" w:color="auto"/>
      </w:divBdr>
    </w:div>
    <w:div w:id="171841236">
      <w:bodyDiv w:val="1"/>
      <w:marLeft w:val="0"/>
      <w:marRight w:val="0"/>
      <w:marTop w:val="0"/>
      <w:marBottom w:val="0"/>
      <w:divBdr>
        <w:top w:val="none" w:sz="0" w:space="0" w:color="auto"/>
        <w:left w:val="none" w:sz="0" w:space="0" w:color="auto"/>
        <w:bottom w:val="none" w:sz="0" w:space="0" w:color="auto"/>
        <w:right w:val="none" w:sz="0" w:space="0" w:color="auto"/>
      </w:divBdr>
    </w:div>
    <w:div w:id="372312664">
      <w:bodyDiv w:val="1"/>
      <w:marLeft w:val="0"/>
      <w:marRight w:val="0"/>
      <w:marTop w:val="0"/>
      <w:marBottom w:val="0"/>
      <w:divBdr>
        <w:top w:val="none" w:sz="0" w:space="0" w:color="auto"/>
        <w:left w:val="none" w:sz="0" w:space="0" w:color="auto"/>
        <w:bottom w:val="none" w:sz="0" w:space="0" w:color="auto"/>
        <w:right w:val="none" w:sz="0" w:space="0" w:color="auto"/>
      </w:divBdr>
    </w:div>
    <w:div w:id="670717043">
      <w:bodyDiv w:val="1"/>
      <w:marLeft w:val="0"/>
      <w:marRight w:val="0"/>
      <w:marTop w:val="0"/>
      <w:marBottom w:val="0"/>
      <w:divBdr>
        <w:top w:val="none" w:sz="0" w:space="0" w:color="auto"/>
        <w:left w:val="none" w:sz="0" w:space="0" w:color="auto"/>
        <w:bottom w:val="none" w:sz="0" w:space="0" w:color="auto"/>
        <w:right w:val="none" w:sz="0" w:space="0" w:color="auto"/>
      </w:divBdr>
    </w:div>
    <w:div w:id="674959866">
      <w:bodyDiv w:val="1"/>
      <w:marLeft w:val="0"/>
      <w:marRight w:val="0"/>
      <w:marTop w:val="0"/>
      <w:marBottom w:val="0"/>
      <w:divBdr>
        <w:top w:val="none" w:sz="0" w:space="0" w:color="auto"/>
        <w:left w:val="none" w:sz="0" w:space="0" w:color="auto"/>
        <w:bottom w:val="none" w:sz="0" w:space="0" w:color="auto"/>
        <w:right w:val="none" w:sz="0" w:space="0" w:color="auto"/>
      </w:divBdr>
    </w:div>
    <w:div w:id="683937981">
      <w:bodyDiv w:val="1"/>
      <w:marLeft w:val="0"/>
      <w:marRight w:val="0"/>
      <w:marTop w:val="0"/>
      <w:marBottom w:val="0"/>
      <w:divBdr>
        <w:top w:val="none" w:sz="0" w:space="0" w:color="auto"/>
        <w:left w:val="none" w:sz="0" w:space="0" w:color="auto"/>
        <w:bottom w:val="none" w:sz="0" w:space="0" w:color="auto"/>
        <w:right w:val="none" w:sz="0" w:space="0" w:color="auto"/>
      </w:divBdr>
    </w:div>
    <w:div w:id="707224580">
      <w:bodyDiv w:val="1"/>
      <w:marLeft w:val="0"/>
      <w:marRight w:val="0"/>
      <w:marTop w:val="0"/>
      <w:marBottom w:val="0"/>
      <w:divBdr>
        <w:top w:val="none" w:sz="0" w:space="0" w:color="auto"/>
        <w:left w:val="none" w:sz="0" w:space="0" w:color="auto"/>
        <w:bottom w:val="none" w:sz="0" w:space="0" w:color="auto"/>
        <w:right w:val="none" w:sz="0" w:space="0" w:color="auto"/>
      </w:divBdr>
    </w:div>
    <w:div w:id="724449293">
      <w:bodyDiv w:val="1"/>
      <w:marLeft w:val="0"/>
      <w:marRight w:val="0"/>
      <w:marTop w:val="0"/>
      <w:marBottom w:val="0"/>
      <w:divBdr>
        <w:top w:val="none" w:sz="0" w:space="0" w:color="auto"/>
        <w:left w:val="none" w:sz="0" w:space="0" w:color="auto"/>
        <w:bottom w:val="none" w:sz="0" w:space="0" w:color="auto"/>
        <w:right w:val="none" w:sz="0" w:space="0" w:color="auto"/>
      </w:divBdr>
    </w:div>
    <w:div w:id="895166865">
      <w:bodyDiv w:val="1"/>
      <w:marLeft w:val="0"/>
      <w:marRight w:val="0"/>
      <w:marTop w:val="0"/>
      <w:marBottom w:val="0"/>
      <w:divBdr>
        <w:top w:val="none" w:sz="0" w:space="0" w:color="auto"/>
        <w:left w:val="none" w:sz="0" w:space="0" w:color="auto"/>
        <w:bottom w:val="none" w:sz="0" w:space="0" w:color="auto"/>
        <w:right w:val="none" w:sz="0" w:space="0" w:color="auto"/>
      </w:divBdr>
    </w:div>
    <w:div w:id="1212763548">
      <w:bodyDiv w:val="1"/>
      <w:marLeft w:val="0"/>
      <w:marRight w:val="0"/>
      <w:marTop w:val="0"/>
      <w:marBottom w:val="0"/>
      <w:divBdr>
        <w:top w:val="none" w:sz="0" w:space="0" w:color="auto"/>
        <w:left w:val="none" w:sz="0" w:space="0" w:color="auto"/>
        <w:bottom w:val="none" w:sz="0" w:space="0" w:color="auto"/>
        <w:right w:val="none" w:sz="0" w:space="0" w:color="auto"/>
      </w:divBdr>
    </w:div>
    <w:div w:id="1527479872">
      <w:bodyDiv w:val="1"/>
      <w:marLeft w:val="0"/>
      <w:marRight w:val="0"/>
      <w:marTop w:val="0"/>
      <w:marBottom w:val="0"/>
      <w:divBdr>
        <w:top w:val="none" w:sz="0" w:space="0" w:color="auto"/>
        <w:left w:val="none" w:sz="0" w:space="0" w:color="auto"/>
        <w:bottom w:val="none" w:sz="0" w:space="0" w:color="auto"/>
        <w:right w:val="none" w:sz="0" w:space="0" w:color="auto"/>
      </w:divBdr>
    </w:div>
    <w:div w:id="1596211033">
      <w:bodyDiv w:val="1"/>
      <w:marLeft w:val="0"/>
      <w:marRight w:val="0"/>
      <w:marTop w:val="0"/>
      <w:marBottom w:val="0"/>
      <w:divBdr>
        <w:top w:val="none" w:sz="0" w:space="0" w:color="auto"/>
        <w:left w:val="none" w:sz="0" w:space="0" w:color="auto"/>
        <w:bottom w:val="none" w:sz="0" w:space="0" w:color="auto"/>
        <w:right w:val="none" w:sz="0" w:space="0" w:color="auto"/>
      </w:divBdr>
    </w:div>
    <w:div w:id="1741559110">
      <w:bodyDiv w:val="1"/>
      <w:marLeft w:val="0"/>
      <w:marRight w:val="0"/>
      <w:marTop w:val="0"/>
      <w:marBottom w:val="0"/>
      <w:divBdr>
        <w:top w:val="none" w:sz="0" w:space="0" w:color="auto"/>
        <w:left w:val="none" w:sz="0" w:space="0" w:color="auto"/>
        <w:bottom w:val="none" w:sz="0" w:space="0" w:color="auto"/>
        <w:right w:val="none" w:sz="0" w:space="0" w:color="auto"/>
      </w:divBdr>
    </w:div>
    <w:div w:id="19143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cue.org/sites/default/files/document/5378/irc-catalyzingtheusresponsetocovid-19inhumanitariansettings.pdf" TargetMode="External"/><Relationship Id="rId18" Type="http://schemas.openxmlformats.org/officeDocument/2006/relationships/hyperlink" Target="https://www.nature.com/articles/s43016-021-00319-4" TargetMode="External"/><Relationship Id="rId26" Type="http://schemas.openxmlformats.org/officeDocument/2006/relationships/hyperlink" Target="https://www.rescue.org/sesame" TargetMode="External"/><Relationship Id="rId39" Type="http://schemas.openxmlformats.org/officeDocument/2006/relationships/header" Target="header2.xml"/><Relationship Id="rId21" Type="http://schemas.openxmlformats.org/officeDocument/2006/relationships/image" Target="media/image2.jpeg"/><Relationship Id="rId34" Type="http://schemas.openxmlformats.org/officeDocument/2006/relationships/hyperlink" Target="https://www.rescue.org/sites/default/files/document/5809/oneyearonrefugeeinclusioninwbcovid-19responseapril202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cue.org/sites/default/files/document/5879/ircgrandbargainuslv6final.pdf" TargetMode="External"/><Relationship Id="rId20" Type="http://schemas.openxmlformats.org/officeDocument/2006/relationships/hyperlink" Target="https://www.savethechildren.org.uk/news/media-centre/press-releases/uk-government-set-to-cut-malnutrition-programmes-by-80-percent" TargetMode="External"/><Relationship Id="rId29" Type="http://schemas.openxmlformats.org/officeDocument/2006/relationships/hyperlink" Target="https://www.rescue.org/sites/default/files/document/5433/improvingfinancialhealth-r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f.org/en/Publications/WEO/Issues/2021/07/27/world-economic-outlook-update-july-2021" TargetMode="External"/><Relationship Id="rId24" Type="http://schemas.openxmlformats.org/officeDocument/2006/relationships/hyperlink" Target="https://www.rescue-uk.org/sites/default/files/document/2247/theshadowpandemicbangladesh.pdf" TargetMode="External"/><Relationship Id="rId32" Type="http://schemas.openxmlformats.org/officeDocument/2006/relationships/hyperlink" Target="https://www.rescue.org/sites/default/files/document/5538/9humanitariangoalsforthebiden-harrisadministrationsfirstyear.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cue.org/sites/default/files/document/5942/ircgrandbargainbrieferuslv4.pdf" TargetMode="External"/><Relationship Id="rId23" Type="http://schemas.openxmlformats.org/officeDocument/2006/relationships/hyperlink" Target="https://downloads.ctfassets.net/0oan5gk9rgbh/6TMYLYAcUpjhQpXLDgmdIa/3e1c12d8d827985ef2b4e815a3a6da1f/COVID19_GirlsEducation_corrected_071420.pdf" TargetMode="External"/><Relationship Id="rId28" Type="http://schemas.openxmlformats.org/officeDocument/2006/relationships/hyperlink" Target="https://www.rescue.org/sites/default/files/document/631/emergencyeconomiesevaluationreport-lebanon2014.pdf"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rescue.org/sites/default/files/document/5903/endingthehungercrisis.pdf" TargetMode="External"/><Relationship Id="rId31" Type="http://schemas.openxmlformats.org/officeDocument/2006/relationships/hyperlink" Target="https://storymaps.arcgis.com/stories/4b999f79628644df84ccb7c10a9edd9e" TargetMode="External"/><Relationship Id="rId4" Type="http://schemas.openxmlformats.org/officeDocument/2006/relationships/settings" Target="settings.xml"/><Relationship Id="rId9" Type="http://schemas.openxmlformats.org/officeDocument/2006/relationships/hyperlink" Target="https://www.rescue.org/sites/default/files/document/5481/2021emergencywatchlistirc.pdf" TargetMode="External"/><Relationship Id="rId14" Type="http://schemas.openxmlformats.org/officeDocument/2006/relationships/hyperlink" Target="https://www.rescue.org/sites/default/files/document/5879/ircgrandbargainuslv6final.pdf" TargetMode="External"/><Relationship Id="rId22" Type="http://schemas.openxmlformats.org/officeDocument/2006/relationships/hyperlink" Target="https://www.weforum.org/reports/ab6795a1-960c-42b2-b3d5-587eccda6023" TargetMode="External"/><Relationship Id="rId27" Type="http://schemas.openxmlformats.org/officeDocument/2006/relationships/hyperlink" Target="https://www.rescue.org/playmatters" TargetMode="External"/><Relationship Id="rId30" Type="http://schemas.openxmlformats.org/officeDocument/2006/relationships/hyperlink" Target="https://www.rescue.org/sites/default/files/document/4981/essentialsofgbvduringandaftercovid-19625vfupdated629.pdf" TargetMode="External"/><Relationship Id="rId35" Type="http://schemas.openxmlformats.org/officeDocument/2006/relationships/hyperlink" Target="https://www.thenewhumanitarian.org/news-feature/2021/6/8/COVID-vaccinations-refugees-hesitancy-misinformation-marginalisation" TargetMode="External"/><Relationship Id="rId8" Type="http://schemas.openxmlformats.org/officeDocument/2006/relationships/hyperlink" Target="https://www.who.int/director-general/speeches/detail/who-director-general-s-opening-remarks-at-the-media-briefing-on-covid-19---8-september-2021" TargetMode="External"/><Relationship Id="rId3" Type="http://schemas.openxmlformats.org/officeDocument/2006/relationships/styles" Target="styles.xml"/><Relationship Id="rId12" Type="http://schemas.openxmlformats.org/officeDocument/2006/relationships/hyperlink" Target="https://interagencystandingcommittee.org/system/files/2021-06/Frequently%20Asked%20Questions-%20The%20COVAX%20Humanitarian%20Buffer%2C%2008%20June.pdf" TargetMode="External"/><Relationship Id="rId17" Type="http://schemas.openxmlformats.org/officeDocument/2006/relationships/hyperlink" Target="https://www.rescue.org/sites/default/files/document/5903/endingthehungercrisis.pdf" TargetMode="External"/><Relationship Id="rId25" Type="http://schemas.openxmlformats.org/officeDocument/2006/relationships/hyperlink" Target="https://journals.plos.org/plosmedicine/article?id=10.1371/journal.pmed.1003192" TargetMode="External"/><Relationship Id="rId33" Type="http://schemas.openxmlformats.org/officeDocument/2006/relationships/hyperlink" Target="https://www.rescue.org/sites/default/files/document/5538/9humanitariangoalsforthebiden-harrisadministrationsfirstyear.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cleddata.com/data-export-tool/" TargetMode="External"/><Relationship Id="rId2" Type="http://schemas.openxmlformats.org/officeDocument/2006/relationships/hyperlink" Target="https://reliefweb.int/sites/reliefweb.int/files/resources/Global%20Climate%20Risk%20Index%202021_1_0.pdf" TargetMode="External"/><Relationship Id="rId1" Type="http://schemas.openxmlformats.org/officeDocument/2006/relationships/hyperlink" Target="https://data.humdata.org/visualization/covid19-humanitarian-operations/?layer=ipc_acute_food_insecur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0A42-7857-FD45-A7AB-3CC0A4CD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Ulloa</dc:creator>
  <cp:keywords/>
  <dc:description/>
  <cp:lastModifiedBy>Sarah Sakha</cp:lastModifiedBy>
  <cp:revision>6</cp:revision>
  <cp:lastPrinted>2021-09-14T13:41:00Z</cp:lastPrinted>
  <dcterms:created xsi:type="dcterms:W3CDTF">2021-09-14T15:05:00Z</dcterms:created>
  <dcterms:modified xsi:type="dcterms:W3CDTF">2021-09-15T14:31:00Z</dcterms:modified>
</cp:coreProperties>
</file>